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2DFF7">
      <w:pPr>
        <w:topLinePunct/>
        <w:adjustRightInd w:val="0"/>
        <w:jc w:val="center"/>
        <w:rPr>
          <w:rFonts w:ascii="宋体" w:hAnsi="宋体" w:eastAsia="宋体" w:cs="Arial Unicode MS"/>
          <w:b/>
          <w:w w:val="97"/>
          <w:sz w:val="32"/>
          <w:szCs w:val="32"/>
        </w:rPr>
      </w:pPr>
      <w:r>
        <w:rPr>
          <w:rFonts w:hint="eastAsia" w:ascii="宋体" w:hAnsi="宋体" w:eastAsia="宋体" w:cs="Arial Unicode MS"/>
          <w:b/>
          <w:w w:val="97"/>
          <w:sz w:val="32"/>
          <w:szCs w:val="32"/>
        </w:rPr>
        <w:t>江苏省中等职业学校国际贸易类商务韩语专业</w:t>
      </w:r>
    </w:p>
    <w:p w14:paraId="3A427792">
      <w:pPr>
        <w:topLinePunct/>
        <w:adjustRightInd w:val="0"/>
        <w:jc w:val="center"/>
        <w:rPr>
          <w:rFonts w:ascii="宋体" w:hAnsi="宋体" w:eastAsia="宋体" w:cs="Arial Unicode MS"/>
          <w:b/>
          <w:sz w:val="32"/>
          <w:szCs w:val="32"/>
        </w:rPr>
      </w:pPr>
      <w:r>
        <w:rPr>
          <w:rFonts w:hint="eastAsia" w:ascii="宋体" w:hAnsi="宋体" w:eastAsia="宋体" w:cs="Arial Unicode MS"/>
          <w:b/>
          <w:sz w:val="32"/>
          <w:szCs w:val="32"/>
        </w:rPr>
        <w:t xml:space="preserve"> 《商务韩语听说》课程标准（试行）</w:t>
      </w:r>
    </w:p>
    <w:p w14:paraId="7CD68701">
      <w:pPr>
        <w:ind w:firstLine="420"/>
      </w:pPr>
    </w:p>
    <w:p w14:paraId="61ED8A3F">
      <w:pPr>
        <w:topLinePunct/>
        <w:adjustRightInd w:val="0"/>
        <w:ind w:firstLine="562" w:firstLineChars="200"/>
        <w:rPr>
          <w:rFonts w:ascii="宋体" w:hAnsi="宋体" w:eastAsia="宋体" w:cs="黑体"/>
          <w:b/>
          <w:sz w:val="28"/>
          <w:szCs w:val="28"/>
        </w:rPr>
      </w:pPr>
      <w:r>
        <w:rPr>
          <w:rFonts w:hint="eastAsia" w:ascii="宋体" w:hAnsi="宋体" w:eastAsia="宋体" w:cs="黑体"/>
          <w:b/>
          <w:sz w:val="28"/>
          <w:szCs w:val="28"/>
        </w:rPr>
        <w:t>一、课程性质</w:t>
      </w:r>
    </w:p>
    <w:p w14:paraId="03B90F64">
      <w:pPr>
        <w:topLinePunct/>
        <w:ind w:firstLine="480" w:firstLineChars="200"/>
        <w:jc w:val="both"/>
        <w:rPr>
          <w:rFonts w:ascii="宋体" w:hAnsi="宋体" w:eastAsia="宋体" w:cs="宋体"/>
          <w:sz w:val="24"/>
        </w:rPr>
      </w:pPr>
      <w:r>
        <w:rPr>
          <w:rFonts w:hint="eastAsia" w:ascii="宋体" w:hAnsi="宋体" w:eastAsia="宋体" w:cs="宋体"/>
          <w:sz w:val="24"/>
        </w:rPr>
        <w:t>本课程是江苏省中等职业学校国际贸易类商务韩语专业必修的一门专业核心课程，是在《国际贸易地理与文化礼仪》等课程基础上，开设的一门理论与实践相结合的专业课程，</w:t>
      </w:r>
      <w:r>
        <w:rPr>
          <w:rFonts w:hint="eastAsia" w:cs="宋体" w:asciiTheme="minorEastAsia" w:hAnsiTheme="minorEastAsia"/>
          <w:sz w:val="24"/>
        </w:rPr>
        <w:t>其任务是让学生掌握韩语听说的基础知识和基本技能</w:t>
      </w:r>
      <w:r>
        <w:rPr>
          <w:rFonts w:hint="eastAsia" w:ascii="宋体" w:hAnsi="宋体" w:eastAsia="宋体" w:cs="宋体"/>
          <w:sz w:val="24"/>
        </w:rPr>
        <w:t>，为后续《商务韩语沟通与谈判》等课程的学习奠定基础。</w:t>
      </w:r>
    </w:p>
    <w:p w14:paraId="5D717CDB">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二、学时与学分</w:t>
      </w:r>
      <w:r>
        <w:rPr>
          <w:rFonts w:hint="eastAsia" w:ascii="宋体" w:hAnsi="宋体" w:eastAsia="宋体" w:cs="黑体"/>
          <w:b/>
          <w:sz w:val="28"/>
          <w:szCs w:val="28"/>
        </w:rPr>
        <w:tab/>
      </w:r>
    </w:p>
    <w:p w14:paraId="6BB03498">
      <w:pPr>
        <w:ind w:firstLine="480" w:firstLineChars="200"/>
        <w:jc w:val="both"/>
        <w:rPr>
          <w:rFonts w:ascii="宋体" w:hAnsi="宋体" w:eastAsia="宋体"/>
          <w:sz w:val="24"/>
        </w:rPr>
      </w:pPr>
      <w:r>
        <w:rPr>
          <w:rFonts w:hint="eastAsia" w:ascii="宋体" w:hAnsi="宋体" w:eastAsia="宋体" w:cs="宋体"/>
          <w:sz w:val="24"/>
        </w:rPr>
        <w:t>144学时，8学分。</w:t>
      </w:r>
    </w:p>
    <w:p w14:paraId="53474C8A">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三、课程设计思路</w:t>
      </w:r>
    </w:p>
    <w:p w14:paraId="505FE484">
      <w:pPr>
        <w:topLinePunct/>
        <w:ind w:firstLine="480" w:firstLineChars="200"/>
        <w:jc w:val="both"/>
        <w:rPr>
          <w:rFonts w:ascii="宋体" w:hAnsi="宋体" w:cs="Arial Unicode MS"/>
          <w:sz w:val="24"/>
        </w:rPr>
      </w:pPr>
      <w:r>
        <w:rPr>
          <w:rFonts w:hint="eastAsia" w:ascii="宋体" w:hAnsi="宋体" w:eastAsia="宋体" w:cs="宋体"/>
          <w:sz w:val="24"/>
        </w:rPr>
        <w:t>本课程按照立德树人根本任务要求，</w:t>
      </w:r>
      <w:r>
        <w:rPr>
          <w:rFonts w:hint="eastAsia" w:cs="宋体" w:asciiTheme="minorEastAsia" w:hAnsiTheme="minorEastAsia"/>
          <w:sz w:val="24"/>
        </w:rPr>
        <w:t>突出专业核心素养、必备品格和关键能力</w:t>
      </w:r>
      <w:r>
        <w:rPr>
          <w:rFonts w:hint="eastAsia" w:ascii="宋体" w:hAnsi="宋体" w:eastAsia="宋体" w:cs="宋体"/>
          <w:sz w:val="24"/>
        </w:rPr>
        <w:t>，兼顾中高职课程衔接，高度融合商务韩语听说</w:t>
      </w:r>
      <w:r>
        <w:rPr>
          <w:rFonts w:hint="eastAsia" w:ascii="宋体" w:hAnsi="宋体" w:cs="宋体"/>
          <w:sz w:val="24"/>
        </w:rPr>
        <w:t>的知识技能学习和职业精神培养。</w:t>
      </w:r>
    </w:p>
    <w:p w14:paraId="35939143">
      <w:pPr>
        <w:topLinePunct/>
        <w:ind w:firstLine="480" w:firstLineChars="200"/>
        <w:jc w:val="both"/>
        <w:rPr>
          <w:rFonts w:ascii="宋体" w:hAnsi="宋体" w:eastAsia="宋体" w:cs="宋体"/>
          <w:sz w:val="24"/>
        </w:rPr>
      </w:pPr>
      <w:r>
        <w:rPr>
          <w:rFonts w:hint="eastAsia" w:ascii="宋体" w:hAnsi="宋体" w:eastAsia="宋体" w:cs="宋体"/>
          <w:sz w:val="24"/>
        </w:rPr>
        <w:t>1.依据《江苏省中等职业学校国际贸易类商务韩语专业指导性人才培养方案》中确定的培养目标、综合素质、职业能力，按照知识与技能、过程与方法、情感态度与价值观三个维度，突出商务韩语视听、商务韩语会话等</w:t>
      </w:r>
      <w:r>
        <w:rPr>
          <w:rFonts w:hint="eastAsia" w:ascii="宋体" w:hAnsi="宋体" w:cs="宋体"/>
          <w:sz w:val="24"/>
        </w:rPr>
        <w:t>能力</w:t>
      </w:r>
      <w:r>
        <w:rPr>
          <w:rFonts w:hint="eastAsia" w:ascii="宋体" w:hAnsi="宋体" w:eastAsia="宋体" w:cs="宋体"/>
          <w:sz w:val="24"/>
        </w:rPr>
        <w:t>的培养，结合本课程的性质和职业教育课程教学的最新理念，确定本课程目标。</w:t>
      </w:r>
    </w:p>
    <w:p w14:paraId="572751F5">
      <w:pPr>
        <w:topLinePunct/>
        <w:ind w:firstLine="480" w:firstLineChars="200"/>
        <w:jc w:val="both"/>
        <w:rPr>
          <w:rFonts w:ascii="宋体" w:hAnsi="宋体" w:eastAsia="宋体" w:cs="宋体"/>
          <w:sz w:val="24"/>
        </w:rPr>
      </w:pPr>
      <w:r>
        <w:rPr>
          <w:rFonts w:hint="eastAsia" w:ascii="宋体" w:hAnsi="宋体" w:eastAsia="宋体" w:cs="宋体"/>
          <w:sz w:val="24"/>
        </w:rPr>
        <w:t>2.根据“江苏省中等职业学校商务韩语专业‘工作任务与职业能力’分析表”，依据课程目标和营销员等工作的岗位需求，围绕商务韩语沟通关键能力，反映跨境营销员工作的实际，体现科学性、适用性原则，确定本课程内容。</w:t>
      </w:r>
    </w:p>
    <w:p w14:paraId="25A3B958">
      <w:pPr>
        <w:topLinePunct/>
        <w:ind w:firstLine="480" w:firstLineChars="200"/>
        <w:jc w:val="both"/>
        <w:rPr>
          <w:rFonts w:ascii="宋体" w:hAnsi="宋体" w:eastAsia="宋体" w:cs="宋体"/>
          <w:sz w:val="24"/>
        </w:rPr>
      </w:pPr>
      <w:r>
        <w:rPr>
          <w:rFonts w:hint="eastAsia" w:ascii="宋体" w:hAnsi="宋体" w:eastAsia="宋体" w:cs="宋体"/>
          <w:sz w:val="24"/>
        </w:rPr>
        <w:t>3.以“</w:t>
      </w:r>
      <w:r>
        <w:rPr>
          <w:rFonts w:hint="eastAsia" w:eastAsia="宋体" w:cs="宋体" w:asciiTheme="minorEastAsia" w:hAnsiTheme="minorEastAsia"/>
          <w:sz w:val="24"/>
        </w:rPr>
        <w:t>韩</w:t>
      </w:r>
      <w:r>
        <w:rPr>
          <w:rFonts w:hint="eastAsia" w:cs="宋体" w:asciiTheme="minorEastAsia" w:hAnsiTheme="minorEastAsia"/>
          <w:sz w:val="24"/>
        </w:rPr>
        <w:t>语基础、视听训练、会话训练、</w:t>
      </w:r>
      <w:r>
        <w:rPr>
          <w:rFonts w:hint="eastAsia" w:cs="仿宋" w:asciiTheme="minorEastAsia" w:hAnsiTheme="minorEastAsia"/>
          <w:kern w:val="0"/>
          <w:sz w:val="24"/>
          <w:szCs w:val="24"/>
        </w:rPr>
        <w:t>综合训练</w:t>
      </w:r>
      <w:r>
        <w:rPr>
          <w:rFonts w:hint="eastAsia" w:ascii="宋体" w:hAnsi="宋体" w:eastAsia="宋体" w:cs="宋体"/>
          <w:sz w:val="24"/>
        </w:rPr>
        <w:t>”为主线，设置模块</w:t>
      </w:r>
      <w:r>
        <w:rPr>
          <w:rFonts w:ascii="宋体" w:hAnsi="宋体" w:eastAsia="宋体" w:cs="宋体"/>
          <w:sz w:val="24"/>
        </w:rPr>
        <w:t>和教学单元</w:t>
      </w:r>
      <w:r>
        <w:rPr>
          <w:rFonts w:hint="eastAsia" w:ascii="宋体" w:hAnsi="宋体" w:eastAsia="宋体" w:cs="宋体"/>
          <w:sz w:val="24"/>
        </w:rPr>
        <w:t>，将商务韩语听说的基础知识、基本技能和职业素养有机融入，遵循学生认知规律，结合学生的生活经验，确定学习内容的顺序。</w:t>
      </w:r>
    </w:p>
    <w:p w14:paraId="1CA33898">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四、课程目标</w:t>
      </w:r>
    </w:p>
    <w:p w14:paraId="1780A63D">
      <w:pPr>
        <w:topLinePunct/>
        <w:ind w:firstLine="480" w:firstLineChars="200"/>
        <w:jc w:val="both"/>
        <w:rPr>
          <w:rFonts w:ascii="宋体" w:hAnsi="宋体" w:eastAsia="宋体" w:cs="宋体"/>
          <w:sz w:val="24"/>
        </w:rPr>
      </w:pPr>
      <w:r>
        <w:rPr>
          <w:rFonts w:hint="eastAsia" w:ascii="宋体" w:hAnsi="宋体" w:eastAsia="宋体" w:cs="宋体"/>
          <w:sz w:val="24"/>
        </w:rPr>
        <w:t>学生通过学习本课程，掌握</w:t>
      </w:r>
      <w:r>
        <w:rPr>
          <w:rFonts w:hint="eastAsia" w:ascii="宋体" w:hAnsi="宋体" w:eastAsia="宋体" w:cs="宋体"/>
          <w:color w:val="000000" w:themeColor="text1"/>
          <w:sz w:val="24"/>
          <w14:textFill>
            <w14:solidFill>
              <w14:schemeClr w14:val="tx1"/>
            </w14:solidFill>
          </w14:textFill>
        </w:rPr>
        <w:t>商务接待、商务活动的基础知识和基本韩语听说技能，具备一定的商务实践能力</w:t>
      </w:r>
      <w:r>
        <w:rPr>
          <w:rFonts w:hint="eastAsia" w:ascii="宋体" w:hAnsi="宋体" w:eastAsia="宋体" w:cs="宋体"/>
          <w:sz w:val="24"/>
        </w:rPr>
        <w:t>，树立良好的职业道德和职业情感。</w:t>
      </w:r>
    </w:p>
    <w:p w14:paraId="236E9ECC">
      <w:pPr>
        <w:topLinePunct/>
        <w:ind w:firstLine="480" w:firstLineChars="200"/>
        <w:jc w:val="both"/>
        <w:rPr>
          <w:rFonts w:ascii="宋体" w:hAnsi="宋体" w:eastAsia="宋体" w:cs="宋体"/>
          <w:sz w:val="24"/>
        </w:rPr>
      </w:pPr>
      <w:r>
        <w:rPr>
          <w:rFonts w:hint="eastAsia" w:ascii="宋体" w:hAnsi="宋体" w:eastAsia="宋体" w:cs="宋体"/>
          <w:sz w:val="24"/>
        </w:rPr>
        <w:t>1</w:t>
      </w:r>
      <w:r>
        <w:rPr>
          <w:rFonts w:ascii="宋体" w:hAnsi="宋体" w:eastAsia="宋体" w:cs="宋体"/>
          <w:sz w:val="24"/>
        </w:rPr>
        <w:t>.</w:t>
      </w:r>
      <w:r>
        <w:rPr>
          <w:rFonts w:hint="eastAsia" w:ascii="宋体" w:hAnsi="宋体" w:eastAsia="宋体" w:cs="宋体"/>
          <w:sz w:val="24"/>
        </w:rPr>
        <w:t>掌握韩语的语音规则、发音技巧、收音及变音方法，能正确拼读单词，并能用正确的语音和语调交流。</w:t>
      </w:r>
    </w:p>
    <w:p w14:paraId="5E598D40">
      <w:pPr>
        <w:topLinePunct/>
        <w:ind w:firstLine="480" w:firstLineChars="200"/>
        <w:jc w:val="both"/>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w:t>
      </w:r>
      <w:r>
        <w:rPr>
          <w:rFonts w:hint="eastAsia" w:ascii="宋体" w:hAnsi="宋体" w:eastAsia="宋体" w:cs="宋体"/>
          <w:sz w:val="24"/>
        </w:rPr>
        <w:t>掌握与日常主题相关的韩语单词和句型，能听懂日常主题下的短对话、广播、电话录音等，并能开展日常交际会话。</w:t>
      </w:r>
    </w:p>
    <w:p w14:paraId="171752DE">
      <w:pPr>
        <w:topLinePunct/>
        <w:ind w:firstLine="480" w:firstLineChars="200"/>
        <w:jc w:val="both"/>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r>
        <w:rPr>
          <w:rFonts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了解公司常见工作岗位与工作职责的基本知识与韩语表达，能开展求职面试，并用韩语进行自我介绍与公司概况介绍。</w:t>
      </w:r>
    </w:p>
    <w:p w14:paraId="362BF943">
      <w:pPr>
        <w:topLinePunct/>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w:t>
      </w:r>
      <w:r>
        <w:rPr>
          <w:rFonts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熟悉商务会议安排流程、公司业绩汇报的基本知识与韩语词汇、句型，能用韩语安排商务会议，看懂公司业绩报表，并用韩语进行汇报</w:t>
      </w:r>
      <w:r>
        <w:rPr>
          <w:rFonts w:hint="eastAsia" w:ascii="宋体" w:hAnsi="宋体" w:eastAsia="宋体" w:cs="宋体"/>
          <w:color w:val="000000" w:themeColor="text1"/>
          <w:sz w:val="24"/>
          <w14:textFill>
            <w14:solidFill>
              <w14:schemeClr w14:val="tx1"/>
            </w14:solidFill>
          </w14:textFill>
        </w:rPr>
        <w:t>。</w:t>
      </w:r>
    </w:p>
    <w:p w14:paraId="1962FE96">
      <w:pPr>
        <w:topLinePunct/>
        <w:ind w:firstLine="480"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w:t>
      </w:r>
      <w:r>
        <w:rPr>
          <w:rFonts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具备爱岗敬业和耐心细致的工作态度，规范操作的职业素养和良好的职业道德，具有职业责任感和团队精神。</w:t>
      </w:r>
    </w:p>
    <w:p w14:paraId="4B8FA25A">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五、课程内容与要求</w:t>
      </w:r>
    </w:p>
    <w:tbl>
      <w:tblPr>
        <w:tblStyle w:val="10"/>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6"/>
        <w:gridCol w:w="1701"/>
        <w:gridCol w:w="4653"/>
        <w:gridCol w:w="709"/>
      </w:tblGrid>
      <w:tr w14:paraId="17D99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296" w:type="dxa"/>
            <w:vAlign w:val="center"/>
          </w:tcPr>
          <w:p w14:paraId="1C77C6DA">
            <w:pPr>
              <w:topLinePunct/>
              <w:contextualSpacing/>
              <w:jc w:val="center"/>
              <w:rPr>
                <w:rFonts w:ascii="宋体" w:hAnsi="宋体" w:eastAsia="宋体" w:cs="宋体"/>
                <w:sz w:val="24"/>
              </w:rPr>
            </w:pPr>
            <w:r>
              <w:rPr>
                <w:rFonts w:hint="eastAsia" w:ascii="宋体" w:hAnsi="宋体" w:eastAsia="宋体" w:cs="宋体"/>
                <w:b/>
                <w:bCs/>
                <w:kern w:val="0"/>
                <w:sz w:val="24"/>
              </w:rPr>
              <w:t>模块</w:t>
            </w:r>
          </w:p>
        </w:tc>
        <w:tc>
          <w:tcPr>
            <w:tcW w:w="1701" w:type="dxa"/>
            <w:vAlign w:val="center"/>
          </w:tcPr>
          <w:p w14:paraId="598A77A9">
            <w:pPr>
              <w:topLinePunct/>
              <w:contextualSpacing/>
              <w:jc w:val="center"/>
              <w:rPr>
                <w:rFonts w:ascii="宋体" w:hAnsi="宋体" w:eastAsia="宋体" w:cs="宋体"/>
                <w:sz w:val="24"/>
              </w:rPr>
            </w:pPr>
            <w:r>
              <w:rPr>
                <w:rFonts w:hint="eastAsia" w:ascii="宋体" w:hAnsi="宋体" w:eastAsia="宋体" w:cs="宋体"/>
                <w:b/>
                <w:bCs/>
                <w:kern w:val="0"/>
                <w:sz w:val="24"/>
              </w:rPr>
              <w:t>教学单元</w:t>
            </w:r>
          </w:p>
        </w:tc>
        <w:tc>
          <w:tcPr>
            <w:tcW w:w="4653" w:type="dxa"/>
            <w:vAlign w:val="center"/>
          </w:tcPr>
          <w:p w14:paraId="70A376D0">
            <w:pPr>
              <w:topLinePunct/>
              <w:contextualSpacing/>
              <w:jc w:val="center"/>
              <w:rPr>
                <w:rFonts w:ascii="宋体" w:hAnsi="宋体" w:eastAsia="宋体" w:cs="宋体"/>
                <w:sz w:val="24"/>
              </w:rPr>
            </w:pPr>
            <w:r>
              <w:rPr>
                <w:rFonts w:hint="eastAsia" w:ascii="宋体" w:hAnsi="宋体" w:eastAsia="宋体" w:cs="宋体"/>
                <w:b/>
                <w:bCs/>
                <w:kern w:val="0"/>
                <w:sz w:val="24"/>
              </w:rPr>
              <w:t>内容及要求</w:t>
            </w:r>
          </w:p>
        </w:tc>
        <w:tc>
          <w:tcPr>
            <w:tcW w:w="709" w:type="dxa"/>
            <w:vAlign w:val="center"/>
          </w:tcPr>
          <w:p w14:paraId="1DC6B137">
            <w:pPr>
              <w:topLinePunct/>
              <w:contextualSpacing/>
              <w:jc w:val="center"/>
              <w:rPr>
                <w:rFonts w:ascii="宋体" w:hAnsi="宋体" w:eastAsia="宋体" w:cs="宋体"/>
                <w:sz w:val="24"/>
              </w:rPr>
            </w:pPr>
            <w:r>
              <w:rPr>
                <w:rFonts w:hint="eastAsia" w:ascii="宋体" w:hAnsi="宋体" w:eastAsia="宋体" w:cs="宋体"/>
                <w:b/>
                <w:bCs/>
                <w:kern w:val="0"/>
                <w:sz w:val="24"/>
              </w:rPr>
              <w:t>参考学时</w:t>
            </w:r>
          </w:p>
        </w:tc>
      </w:tr>
      <w:tr w14:paraId="7B8F7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65C9F9A5">
            <w:pPr>
              <w:topLinePunct/>
              <w:jc w:val="center"/>
              <w:rPr>
                <w:rFonts w:ascii="宋体" w:hAnsi="宋体" w:eastAsia="宋体" w:cs="宋体"/>
                <w:sz w:val="24"/>
              </w:rPr>
            </w:pPr>
            <w:r>
              <w:rPr>
                <w:rFonts w:hint="eastAsia" w:ascii="宋体" w:hAnsi="宋体" w:eastAsia="宋体" w:cs="宋体"/>
                <w:sz w:val="24"/>
              </w:rPr>
              <w:t>读韩语：元辅音</w:t>
            </w:r>
          </w:p>
        </w:tc>
        <w:tc>
          <w:tcPr>
            <w:tcW w:w="1701" w:type="dxa"/>
            <w:vAlign w:val="center"/>
          </w:tcPr>
          <w:p w14:paraId="030409B4">
            <w:pPr>
              <w:topLinePunct/>
              <w:jc w:val="center"/>
              <w:rPr>
                <w:rFonts w:ascii="宋体" w:hAnsi="宋体" w:eastAsia="宋体" w:cs="宋体"/>
                <w:sz w:val="24"/>
              </w:rPr>
            </w:pPr>
            <w:r>
              <w:rPr>
                <w:rFonts w:hint="eastAsia" w:ascii="宋体" w:hAnsi="宋体" w:eastAsia="宋体" w:cs="宋体"/>
                <w:sz w:val="24"/>
              </w:rPr>
              <w:t>元音</w:t>
            </w:r>
          </w:p>
        </w:tc>
        <w:tc>
          <w:tcPr>
            <w:tcW w:w="4653" w:type="dxa"/>
            <w:vAlign w:val="center"/>
          </w:tcPr>
          <w:p w14:paraId="757EB456">
            <w:pPr>
              <w:tabs>
                <w:tab w:val="left" w:pos="312"/>
              </w:tabs>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1.了解韩语语音体系，掌握韩语语构的基本知识</w:t>
            </w:r>
            <w:r>
              <w:rPr>
                <w:rFonts w:ascii="宋体" w:hAnsi="宋体" w:eastAsia="宋体" w:cs="宋体"/>
                <w:sz w:val="24"/>
              </w:rPr>
              <w:t>；</w:t>
            </w:r>
          </w:p>
          <w:p w14:paraId="77888D29">
            <w:pPr>
              <w:tabs>
                <w:tab w:val="left" w:pos="312"/>
              </w:tabs>
              <w:topLinePunct/>
              <w:ind w:left="240" w:hanging="240" w:hangingChars="100"/>
              <w:contextualSpacing/>
              <w:jc w:val="both"/>
              <w:rPr>
                <w:rFonts w:ascii="宋体" w:hAnsi="宋体" w:cs="宋体"/>
                <w:sz w:val="24"/>
              </w:rPr>
            </w:pPr>
            <w:r>
              <w:rPr>
                <w:rFonts w:hint="eastAsia" w:ascii="宋体" w:hAnsi="宋体" w:eastAsia="宋体" w:cs="宋体"/>
                <w:sz w:val="24"/>
              </w:rPr>
              <w:t>2.掌握韩语全部元音的构成和发音规律，能流利地读出元音；</w:t>
            </w:r>
          </w:p>
          <w:p w14:paraId="6D5E3030">
            <w:pPr>
              <w:tabs>
                <w:tab w:val="left" w:pos="312"/>
              </w:tabs>
              <w:topLinePunct/>
              <w:ind w:left="240" w:hanging="240" w:hangingChars="100"/>
              <w:contextualSpacing/>
              <w:jc w:val="both"/>
              <w:rPr>
                <w:rFonts w:ascii="宋体" w:hAnsi="宋体" w:cs="宋体"/>
                <w:sz w:val="24"/>
              </w:rPr>
            </w:pPr>
            <w:r>
              <w:rPr>
                <w:rFonts w:hint="eastAsia" w:ascii="宋体" w:hAnsi="宋体" w:eastAsia="宋体" w:cs="宋体"/>
                <w:sz w:val="24"/>
              </w:rPr>
              <w:t>3.掌握韩语的全部元音发音，能识记、背出所有元音</w:t>
            </w:r>
          </w:p>
        </w:tc>
        <w:tc>
          <w:tcPr>
            <w:tcW w:w="709" w:type="dxa"/>
            <w:vMerge w:val="restart"/>
            <w:vAlign w:val="center"/>
          </w:tcPr>
          <w:p w14:paraId="03D81D2A">
            <w:pPr>
              <w:topLinePunct/>
              <w:jc w:val="center"/>
              <w:rPr>
                <w:rFonts w:ascii="宋体" w:hAnsi="宋体" w:eastAsia="宋体" w:cs="宋体"/>
                <w:sz w:val="24"/>
              </w:rPr>
            </w:pPr>
            <w:r>
              <w:rPr>
                <w:rFonts w:hint="eastAsia" w:ascii="宋体" w:hAnsi="宋体" w:eastAsia="宋体" w:cs="宋体"/>
                <w:sz w:val="24"/>
              </w:rPr>
              <w:t>16</w:t>
            </w:r>
          </w:p>
        </w:tc>
      </w:tr>
      <w:tr w14:paraId="32E51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721B720A">
            <w:pPr>
              <w:topLinePunct/>
              <w:jc w:val="center"/>
              <w:rPr>
                <w:rFonts w:ascii="宋体" w:hAnsi="宋体" w:eastAsia="宋体" w:cs="宋体"/>
                <w:sz w:val="24"/>
              </w:rPr>
            </w:pPr>
          </w:p>
        </w:tc>
        <w:tc>
          <w:tcPr>
            <w:tcW w:w="1701" w:type="dxa"/>
            <w:vAlign w:val="center"/>
          </w:tcPr>
          <w:p w14:paraId="16489FB8">
            <w:pPr>
              <w:topLinePunct/>
              <w:jc w:val="center"/>
              <w:rPr>
                <w:rFonts w:ascii="宋体" w:hAnsi="宋体" w:eastAsia="宋体" w:cs="宋体"/>
                <w:sz w:val="24"/>
              </w:rPr>
            </w:pPr>
            <w:r>
              <w:rPr>
                <w:rFonts w:hint="eastAsia" w:ascii="宋体" w:hAnsi="宋体" w:eastAsia="宋体" w:cs="宋体"/>
                <w:sz w:val="24"/>
              </w:rPr>
              <w:t>辅</w:t>
            </w:r>
            <w:bookmarkStart w:id="1" w:name="_GoBack"/>
            <w:bookmarkEnd w:id="1"/>
            <w:r>
              <w:rPr>
                <w:rFonts w:hint="eastAsia" w:ascii="宋体" w:hAnsi="宋体" w:eastAsia="宋体" w:cs="宋体"/>
                <w:sz w:val="24"/>
              </w:rPr>
              <w:t>音</w:t>
            </w:r>
          </w:p>
        </w:tc>
        <w:tc>
          <w:tcPr>
            <w:tcW w:w="4653" w:type="dxa"/>
            <w:vAlign w:val="center"/>
          </w:tcPr>
          <w:p w14:paraId="2A1283F1">
            <w:pPr>
              <w:tabs>
                <w:tab w:val="left" w:pos="312"/>
              </w:tabs>
              <w:topLinePunct/>
              <w:ind w:left="240" w:hanging="240" w:hangingChars="100"/>
              <w:contextualSpacing/>
              <w:jc w:val="both"/>
              <w:rPr>
                <w:rFonts w:ascii="宋体" w:hAnsi="宋体" w:eastAsia="宋体" w:cs="宋体"/>
                <w:sz w:val="24"/>
              </w:rPr>
            </w:pPr>
            <w:r>
              <w:rPr>
                <w:rFonts w:hint="eastAsia" w:ascii="宋体" w:hAnsi="宋体" w:eastAsia="宋体" w:cs="宋体"/>
                <w:sz w:val="24"/>
              </w:rPr>
              <w:t>1.掌握韩语全部的辅音发音规律，能流利地读出辅音；</w:t>
            </w:r>
          </w:p>
          <w:p w14:paraId="58D93547">
            <w:pPr>
              <w:tabs>
                <w:tab w:val="left" w:pos="312"/>
              </w:tabs>
              <w:topLinePunct/>
              <w:ind w:left="240" w:hanging="240" w:hangingChars="100"/>
              <w:contextualSpacing/>
              <w:jc w:val="both"/>
              <w:rPr>
                <w:rFonts w:ascii="宋体" w:hAnsi="宋体" w:eastAsia="宋体" w:cs="宋体"/>
                <w:sz w:val="24"/>
              </w:rPr>
            </w:pPr>
            <w:r>
              <w:rPr>
                <w:rFonts w:hint="eastAsia" w:ascii="宋体" w:hAnsi="宋体" w:eastAsia="宋体" w:cs="宋体"/>
                <w:sz w:val="24"/>
              </w:rPr>
              <w:t>2.熟悉拼音规则，能根据元辅音熟读音节字；</w:t>
            </w:r>
          </w:p>
          <w:p w14:paraId="2DA84DF6">
            <w:pPr>
              <w:tabs>
                <w:tab w:val="left" w:pos="312"/>
              </w:tabs>
              <w:topLinePunct/>
              <w:ind w:left="240" w:hanging="240" w:hangingChars="100"/>
              <w:contextualSpacing/>
              <w:jc w:val="both"/>
              <w:rPr>
                <w:rFonts w:ascii="宋体" w:hAnsi="宋体" w:eastAsia="宋体" w:cs="宋体"/>
                <w:sz w:val="24"/>
              </w:rPr>
            </w:pPr>
            <w:r>
              <w:rPr>
                <w:rFonts w:hint="eastAsia" w:ascii="宋体" w:hAnsi="宋体" w:eastAsia="宋体" w:cs="宋体"/>
                <w:sz w:val="24"/>
              </w:rPr>
              <w:t>3.掌握元音辅音字母组合的发音规律，能读出辅音和元音组合的短单词</w:t>
            </w:r>
          </w:p>
        </w:tc>
        <w:tc>
          <w:tcPr>
            <w:tcW w:w="709" w:type="dxa"/>
            <w:vMerge w:val="continue"/>
            <w:vAlign w:val="center"/>
          </w:tcPr>
          <w:p w14:paraId="2B5BC598">
            <w:pPr>
              <w:topLinePunct/>
              <w:jc w:val="center"/>
              <w:rPr>
                <w:rFonts w:ascii="宋体" w:hAnsi="宋体" w:eastAsia="宋体" w:cs="宋体"/>
                <w:sz w:val="24"/>
              </w:rPr>
            </w:pPr>
          </w:p>
        </w:tc>
      </w:tr>
      <w:tr w14:paraId="3C108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5F8FE832">
            <w:pPr>
              <w:topLinePunct/>
              <w:jc w:val="center"/>
              <w:rPr>
                <w:rFonts w:ascii="宋体" w:hAnsi="宋体" w:eastAsia="宋体" w:cs="宋体"/>
                <w:sz w:val="24"/>
              </w:rPr>
            </w:pPr>
          </w:p>
        </w:tc>
        <w:tc>
          <w:tcPr>
            <w:tcW w:w="1701" w:type="dxa"/>
            <w:vAlign w:val="center"/>
          </w:tcPr>
          <w:p w14:paraId="75268B17">
            <w:pPr>
              <w:topLinePunct/>
              <w:jc w:val="center"/>
            </w:pPr>
            <w:r>
              <w:rPr>
                <w:rFonts w:hint="eastAsia" w:ascii="宋体" w:hAnsi="宋体" w:eastAsia="宋体" w:cs="宋体"/>
                <w:sz w:val="24"/>
              </w:rPr>
              <w:t>收音、变音</w:t>
            </w:r>
          </w:p>
        </w:tc>
        <w:tc>
          <w:tcPr>
            <w:tcW w:w="4653" w:type="dxa"/>
            <w:vAlign w:val="center"/>
          </w:tcPr>
          <w:p w14:paraId="1026C7B2">
            <w:pPr>
              <w:topLinePunct/>
              <w:ind w:left="240" w:hanging="240" w:hangingChars="100"/>
              <w:contextualSpacing/>
              <w:jc w:val="both"/>
              <w:rPr>
                <w:rFonts w:ascii="宋体" w:hAnsi="宋体" w:eastAsia="宋体" w:cs="宋体"/>
                <w:sz w:val="24"/>
              </w:rPr>
            </w:pPr>
            <w:r>
              <w:rPr>
                <w:rFonts w:ascii="宋体" w:hAnsi="宋体" w:eastAsia="宋体" w:cs="宋体"/>
                <w:sz w:val="24"/>
              </w:rPr>
              <w:t>1.了解</w:t>
            </w:r>
            <w:r>
              <w:rPr>
                <w:rFonts w:hint="eastAsia" w:ascii="宋体" w:hAnsi="宋体" w:eastAsia="宋体" w:cs="宋体"/>
                <w:sz w:val="24"/>
              </w:rPr>
              <w:t>韩语朗读技巧</w:t>
            </w:r>
            <w:r>
              <w:rPr>
                <w:rFonts w:ascii="宋体" w:hAnsi="宋体" w:eastAsia="宋体" w:cs="宋体"/>
                <w:sz w:val="24"/>
              </w:rPr>
              <w:t>，能</w:t>
            </w:r>
            <w:r>
              <w:rPr>
                <w:rFonts w:hint="eastAsia" w:ascii="宋体" w:hAnsi="宋体" w:eastAsia="宋体" w:cs="宋体"/>
                <w:sz w:val="24"/>
              </w:rPr>
              <w:t>分析韩语语音</w:t>
            </w:r>
            <w:r>
              <w:rPr>
                <w:rFonts w:ascii="宋体" w:hAnsi="宋体" w:eastAsia="宋体" w:cs="宋体"/>
                <w:sz w:val="24"/>
              </w:rPr>
              <w:t>之间的</w:t>
            </w:r>
            <w:r>
              <w:rPr>
                <w:rFonts w:hint="eastAsia" w:ascii="宋体" w:hAnsi="宋体" w:eastAsia="宋体" w:cs="宋体"/>
                <w:sz w:val="24"/>
              </w:rPr>
              <w:t>连音关系</w:t>
            </w:r>
            <w:r>
              <w:rPr>
                <w:rFonts w:ascii="宋体" w:hAnsi="宋体" w:eastAsia="宋体" w:cs="宋体"/>
                <w:sz w:val="24"/>
              </w:rPr>
              <w:t>；</w:t>
            </w:r>
          </w:p>
          <w:p w14:paraId="4EC009E3">
            <w:pPr>
              <w:topLinePunct/>
              <w:ind w:left="240" w:hanging="240" w:hangingChars="100"/>
              <w:contextualSpacing/>
              <w:jc w:val="both"/>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掌握拼音规则</w:t>
            </w:r>
            <w:r>
              <w:rPr>
                <w:rFonts w:ascii="宋体" w:hAnsi="宋体" w:eastAsia="宋体" w:cs="宋体"/>
                <w:sz w:val="24"/>
              </w:rPr>
              <w:t>，能分析</w:t>
            </w:r>
            <w:r>
              <w:rPr>
                <w:rFonts w:hint="eastAsia" w:ascii="宋体" w:hAnsi="宋体" w:eastAsia="宋体" w:cs="宋体"/>
                <w:sz w:val="24"/>
              </w:rPr>
              <w:t>一般音变及特殊音变的变化规则；</w:t>
            </w:r>
          </w:p>
          <w:p w14:paraId="21A834B3">
            <w:pPr>
              <w:topLinePunct/>
              <w:ind w:left="240" w:hanging="240" w:hangingChars="100"/>
              <w:contextualSpacing/>
              <w:jc w:val="both"/>
              <w:rPr>
                <w:rFonts w:ascii="宋体" w:hAnsi="宋体" w:eastAsia="宋体" w:cs="宋体"/>
                <w:sz w:val="24"/>
              </w:rPr>
            </w:pPr>
            <w:r>
              <w:rPr>
                <w:rFonts w:hint="eastAsia" w:ascii="宋体" w:hAnsi="宋体" w:eastAsia="宋体" w:cs="宋体"/>
                <w:sz w:val="24"/>
              </w:rPr>
              <w:t>3</w:t>
            </w:r>
            <w:r>
              <w:rPr>
                <w:rFonts w:ascii="宋体" w:hAnsi="宋体" w:eastAsia="宋体" w:cs="宋体"/>
                <w:sz w:val="24"/>
              </w:rPr>
              <w:t>.</w:t>
            </w:r>
            <w:r>
              <w:rPr>
                <w:rFonts w:hint="eastAsia" w:ascii="宋体" w:hAnsi="宋体" w:eastAsia="宋体" w:cs="宋体"/>
                <w:sz w:val="24"/>
              </w:rPr>
              <w:t>能根据音变规则较流利地朗读课文，做到停顿语调基本正确</w:t>
            </w:r>
          </w:p>
        </w:tc>
        <w:tc>
          <w:tcPr>
            <w:tcW w:w="709" w:type="dxa"/>
            <w:vMerge w:val="continue"/>
            <w:vAlign w:val="center"/>
          </w:tcPr>
          <w:p w14:paraId="44CA74B8">
            <w:pPr>
              <w:topLinePunct/>
              <w:ind w:firstLine="480" w:firstLineChars="200"/>
              <w:jc w:val="center"/>
              <w:rPr>
                <w:rFonts w:ascii="宋体" w:hAnsi="宋体" w:eastAsia="宋体" w:cs="宋体"/>
                <w:sz w:val="24"/>
              </w:rPr>
            </w:pPr>
          </w:p>
        </w:tc>
      </w:tr>
      <w:tr w14:paraId="311DF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656D7E70">
            <w:pPr>
              <w:topLinePunct/>
              <w:jc w:val="center"/>
              <w:rPr>
                <w:rFonts w:ascii="宋体" w:hAnsi="宋体" w:eastAsia="宋体" w:cs="宋体"/>
                <w:sz w:val="24"/>
              </w:rPr>
            </w:pPr>
            <w:r>
              <w:rPr>
                <w:rFonts w:hint="eastAsia" w:ascii="宋体" w:hAnsi="宋体" w:eastAsia="宋体" w:cs="宋体"/>
                <w:sz w:val="24"/>
              </w:rPr>
              <w:t>日常听说</w:t>
            </w:r>
          </w:p>
        </w:tc>
        <w:tc>
          <w:tcPr>
            <w:tcW w:w="1701" w:type="dxa"/>
            <w:vAlign w:val="center"/>
          </w:tcPr>
          <w:p w14:paraId="393DE3FA">
            <w:pPr>
              <w:topLinePunct/>
              <w:jc w:val="center"/>
              <w:rPr>
                <w:rFonts w:ascii="宋体" w:hAnsi="宋体" w:eastAsia="宋体" w:cs="宋体"/>
                <w:sz w:val="24"/>
              </w:rPr>
            </w:pPr>
            <w:r>
              <w:rPr>
                <w:rFonts w:hint="eastAsia" w:ascii="宋体" w:hAnsi="宋体" w:eastAsia="宋体" w:cs="宋体"/>
                <w:sz w:val="24"/>
                <w:szCs w:val="24"/>
              </w:rPr>
              <w:t>问候</w:t>
            </w:r>
          </w:p>
        </w:tc>
        <w:tc>
          <w:tcPr>
            <w:tcW w:w="4653" w:type="dxa"/>
            <w:vAlign w:val="center"/>
          </w:tcPr>
          <w:p w14:paraId="593F957E">
            <w:pPr>
              <w:tabs>
                <w:tab w:val="left" w:pos="312"/>
              </w:tabs>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1.了解韩国的问候礼仪，掌握必要的韩国问候习惯；</w:t>
            </w:r>
          </w:p>
          <w:p w14:paraId="5DFDB575">
            <w:pPr>
              <w:tabs>
                <w:tab w:val="left" w:pos="312"/>
              </w:tabs>
              <w:topLinePunct/>
              <w:ind w:left="240" w:hanging="240" w:hangingChars="100"/>
              <w:contextualSpacing/>
              <w:jc w:val="both"/>
              <w:rPr>
                <w:rFonts w:ascii="宋体" w:hAnsi="宋体" w:eastAsia="宋体" w:cs="宋体"/>
                <w:sz w:val="24"/>
              </w:rPr>
            </w:pPr>
            <w:r>
              <w:rPr>
                <w:rFonts w:hint="eastAsia" w:ascii="宋体" w:hAnsi="宋体" w:eastAsia="宋体" w:cs="宋体"/>
                <w:sz w:val="24"/>
              </w:rPr>
              <w:t>2.掌握韩国礼貌问候用语，能根据不同场景运用韩语进行日常问候；</w:t>
            </w:r>
          </w:p>
          <w:p w14:paraId="32968750">
            <w:pPr>
              <w:tabs>
                <w:tab w:val="left" w:pos="312"/>
              </w:tabs>
              <w:topLinePunct/>
              <w:ind w:left="240" w:hanging="240" w:hangingChars="100"/>
              <w:contextualSpacing/>
              <w:jc w:val="both"/>
              <w:rPr>
                <w:rFonts w:ascii="宋体" w:hAnsi="宋体" w:eastAsia="宋体" w:cs="宋体"/>
                <w:sz w:val="24"/>
              </w:rPr>
            </w:pPr>
            <w:r>
              <w:rPr>
                <w:rFonts w:hint="eastAsia" w:ascii="宋体" w:hAnsi="宋体" w:eastAsia="宋体" w:cs="宋体"/>
                <w:sz w:val="24"/>
              </w:rPr>
              <w:t>3.了解韩语介绍基本句型，能在不同生活和工作情境中做简要的自我介绍及介绍他人；</w:t>
            </w:r>
          </w:p>
          <w:p w14:paraId="4E765809">
            <w:pPr>
              <w:tabs>
                <w:tab w:val="left" w:pos="312"/>
              </w:tabs>
              <w:topLinePunct/>
              <w:ind w:left="240" w:hanging="240" w:hangingChars="100"/>
              <w:contextualSpacing/>
              <w:jc w:val="both"/>
              <w:rPr>
                <w:rFonts w:ascii="宋体" w:hAnsi="宋体" w:eastAsia="宋体" w:cs="宋体"/>
                <w:sz w:val="24"/>
              </w:rPr>
            </w:pPr>
            <w:r>
              <w:rPr>
                <w:rFonts w:hint="eastAsia" w:ascii="宋体" w:hAnsi="宋体" w:eastAsia="宋体" w:cs="宋体"/>
                <w:sz w:val="24"/>
              </w:rPr>
              <w:t>4.掌握询问对方个人信息的基本句型，如姓名、年龄、职业、国籍、居住地等</w:t>
            </w:r>
          </w:p>
        </w:tc>
        <w:tc>
          <w:tcPr>
            <w:tcW w:w="709" w:type="dxa"/>
            <w:vMerge w:val="restart"/>
            <w:vAlign w:val="center"/>
          </w:tcPr>
          <w:p w14:paraId="7889C50F">
            <w:pPr>
              <w:topLinePunct/>
              <w:jc w:val="center"/>
              <w:rPr>
                <w:rFonts w:ascii="宋体" w:hAnsi="宋体" w:eastAsia="宋体" w:cs="宋体"/>
                <w:sz w:val="24"/>
              </w:rPr>
            </w:pPr>
            <w:r>
              <w:rPr>
                <w:rFonts w:hint="eastAsia" w:ascii="宋体" w:hAnsi="宋体" w:eastAsia="宋体" w:cs="宋体"/>
                <w:sz w:val="24"/>
              </w:rPr>
              <w:t>48</w:t>
            </w:r>
          </w:p>
        </w:tc>
      </w:tr>
      <w:tr w14:paraId="45BA9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6104AC0E">
            <w:pPr>
              <w:topLinePunct/>
              <w:jc w:val="center"/>
              <w:rPr>
                <w:rFonts w:ascii="宋体" w:hAnsi="宋体" w:eastAsia="宋体" w:cs="宋体"/>
                <w:sz w:val="24"/>
              </w:rPr>
            </w:pPr>
          </w:p>
        </w:tc>
        <w:tc>
          <w:tcPr>
            <w:tcW w:w="1701" w:type="dxa"/>
            <w:vAlign w:val="center"/>
          </w:tcPr>
          <w:p w14:paraId="624A6730">
            <w:pPr>
              <w:topLinePunct/>
              <w:jc w:val="center"/>
              <w:rPr>
                <w:rFonts w:ascii="宋体" w:hAnsi="宋体" w:eastAsia="宋体" w:cs="宋体"/>
                <w:sz w:val="24"/>
              </w:rPr>
            </w:pPr>
            <w:r>
              <w:rPr>
                <w:rFonts w:hint="eastAsia" w:ascii="宋体" w:hAnsi="宋体" w:eastAsia="宋体" w:cs="宋体"/>
                <w:sz w:val="24"/>
                <w:szCs w:val="24"/>
              </w:rPr>
              <w:t>数字</w:t>
            </w:r>
          </w:p>
        </w:tc>
        <w:tc>
          <w:tcPr>
            <w:tcW w:w="4653" w:type="dxa"/>
            <w:vAlign w:val="center"/>
          </w:tcPr>
          <w:p w14:paraId="0CAD1641">
            <w:pPr>
              <w:tabs>
                <w:tab w:val="left" w:pos="312"/>
              </w:tabs>
              <w:topLinePunct/>
              <w:contextualSpacing/>
              <w:jc w:val="both"/>
              <w:rPr>
                <w:rFonts w:ascii="宋体" w:hAnsi="宋体" w:eastAsia="宋体" w:cs="宋体"/>
                <w:sz w:val="24"/>
                <w:szCs w:val="24"/>
              </w:rPr>
            </w:pPr>
            <w:r>
              <w:rPr>
                <w:rFonts w:hint="eastAsia" w:ascii="宋体" w:hAnsi="宋体" w:eastAsia="宋体" w:cs="宋体"/>
                <w:sz w:val="24"/>
                <w:szCs w:val="24"/>
              </w:rPr>
              <w:t>1.掌握韩语数字1～</w:t>
            </w:r>
            <w:r>
              <w:rPr>
                <w:rFonts w:ascii="宋体" w:hAnsi="宋体" w:eastAsia="宋体" w:cs="宋体"/>
                <w:sz w:val="24"/>
                <w:szCs w:val="24"/>
              </w:rPr>
              <w:t>100</w:t>
            </w:r>
            <w:r>
              <w:rPr>
                <w:rFonts w:hint="eastAsia" w:ascii="宋体" w:hAnsi="宋体" w:eastAsia="宋体" w:cs="宋体"/>
                <w:sz w:val="24"/>
                <w:szCs w:val="24"/>
              </w:rPr>
              <w:t>的读音和书写；</w:t>
            </w:r>
          </w:p>
          <w:p w14:paraId="64544EA3">
            <w:pPr>
              <w:tabs>
                <w:tab w:val="left" w:pos="312"/>
              </w:tabs>
              <w:topLinePunct/>
              <w:contextualSpacing/>
              <w:jc w:val="both"/>
              <w:rPr>
                <w:rFonts w:ascii="宋体" w:hAnsi="宋体" w:eastAsia="宋体" w:cs="宋体"/>
                <w:sz w:val="24"/>
              </w:rPr>
            </w:pPr>
            <w:r>
              <w:rPr>
                <w:rFonts w:hint="eastAsia" w:ascii="宋体" w:hAnsi="宋体" w:eastAsia="宋体" w:cs="宋体"/>
                <w:sz w:val="24"/>
                <w:szCs w:val="24"/>
              </w:rPr>
              <w:t>2.熟悉号码词汇，能听懂并复述电话号码；</w:t>
            </w:r>
          </w:p>
          <w:p w14:paraId="4CA10E79">
            <w:pPr>
              <w:tabs>
                <w:tab w:val="left" w:pos="312"/>
              </w:tabs>
              <w:topLinePunct/>
              <w:ind w:left="240" w:hanging="240" w:hangingChars="100"/>
              <w:contextualSpacing/>
              <w:jc w:val="both"/>
              <w:rPr>
                <w:rFonts w:ascii="宋体" w:hAnsi="宋体" w:eastAsia="宋体" w:cs="宋体"/>
                <w:sz w:val="24"/>
              </w:rPr>
            </w:pPr>
            <w:r>
              <w:rPr>
                <w:rFonts w:hint="eastAsia" w:ascii="宋体" w:hAnsi="宋体" w:eastAsia="宋体" w:cs="宋体"/>
                <w:sz w:val="24"/>
              </w:rPr>
              <w:t>3.熟悉韩语基本的货币量词，能听懂货品的具体金额；</w:t>
            </w:r>
          </w:p>
          <w:p w14:paraId="5293ABBD">
            <w:pPr>
              <w:tabs>
                <w:tab w:val="left" w:pos="312"/>
              </w:tabs>
              <w:topLinePunct/>
              <w:ind w:left="240" w:hanging="240" w:hangingChars="100"/>
              <w:contextualSpacing/>
              <w:jc w:val="both"/>
              <w:rPr>
                <w:rFonts w:ascii="宋体" w:hAnsi="宋体" w:eastAsia="宋体" w:cs="宋体"/>
                <w:sz w:val="24"/>
              </w:rPr>
            </w:pPr>
            <w:r>
              <w:rPr>
                <w:rFonts w:hint="eastAsia" w:ascii="宋体" w:hAnsi="宋体" w:eastAsia="宋体" w:cs="宋体"/>
                <w:sz w:val="24"/>
              </w:rPr>
              <w:t>4.了解日常生活采购用语，能用韩语进行简单询价、议价</w:t>
            </w:r>
          </w:p>
        </w:tc>
        <w:tc>
          <w:tcPr>
            <w:tcW w:w="709" w:type="dxa"/>
            <w:vMerge w:val="continue"/>
            <w:vAlign w:val="center"/>
          </w:tcPr>
          <w:p w14:paraId="235350D8">
            <w:pPr>
              <w:topLinePunct/>
              <w:ind w:firstLine="480" w:firstLineChars="200"/>
              <w:jc w:val="center"/>
              <w:rPr>
                <w:rFonts w:ascii="宋体" w:hAnsi="宋体" w:eastAsia="宋体" w:cs="宋体"/>
                <w:sz w:val="24"/>
              </w:rPr>
            </w:pPr>
          </w:p>
        </w:tc>
      </w:tr>
      <w:tr w14:paraId="5A1EF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54DE53B3">
            <w:pPr>
              <w:topLinePunct/>
              <w:jc w:val="center"/>
              <w:rPr>
                <w:rFonts w:ascii="宋体" w:hAnsi="宋体" w:eastAsia="宋体" w:cs="宋体"/>
                <w:sz w:val="24"/>
              </w:rPr>
            </w:pPr>
          </w:p>
        </w:tc>
        <w:tc>
          <w:tcPr>
            <w:tcW w:w="1701" w:type="dxa"/>
            <w:vAlign w:val="center"/>
          </w:tcPr>
          <w:p w14:paraId="4C680723">
            <w:pPr>
              <w:topLinePunct/>
              <w:jc w:val="center"/>
              <w:rPr>
                <w:rFonts w:ascii="宋体" w:hAnsi="宋体" w:eastAsia="宋体" w:cs="宋体"/>
                <w:sz w:val="24"/>
              </w:rPr>
            </w:pPr>
            <w:r>
              <w:rPr>
                <w:rFonts w:hint="eastAsia" w:ascii="宋体" w:hAnsi="宋体" w:eastAsia="宋体" w:cs="宋体"/>
                <w:sz w:val="24"/>
                <w:szCs w:val="24"/>
              </w:rPr>
              <w:t>饮食</w:t>
            </w:r>
          </w:p>
        </w:tc>
        <w:tc>
          <w:tcPr>
            <w:tcW w:w="4653" w:type="dxa"/>
            <w:vAlign w:val="center"/>
          </w:tcPr>
          <w:p w14:paraId="6F90899D">
            <w:pPr>
              <w:tabs>
                <w:tab w:val="left" w:pos="312"/>
              </w:tabs>
              <w:topLinePunct/>
              <w:ind w:left="240" w:hanging="240" w:hangingChars="100"/>
              <w:contextualSpacing/>
              <w:jc w:val="both"/>
              <w:rPr>
                <w:rFonts w:ascii="宋体" w:hAnsi="宋体" w:eastAsia="宋体" w:cs="宋体"/>
                <w:sz w:val="24"/>
              </w:rPr>
            </w:pPr>
            <w:r>
              <w:rPr>
                <w:rFonts w:hint="eastAsia" w:ascii="宋体" w:hAnsi="宋体" w:eastAsia="宋体" w:cs="宋体"/>
                <w:sz w:val="24"/>
              </w:rPr>
              <w:t>1.了解韩国传统饮食特色，掌握韩国常见饮食词汇；</w:t>
            </w:r>
          </w:p>
          <w:p w14:paraId="7D269BA3">
            <w:pPr>
              <w:tabs>
                <w:tab w:val="left" w:pos="312"/>
              </w:tabs>
              <w:topLinePunct/>
              <w:ind w:left="240" w:hanging="240" w:hangingChars="100"/>
              <w:contextualSpacing/>
              <w:jc w:val="both"/>
              <w:rPr>
                <w:rFonts w:ascii="宋体" w:hAnsi="宋体" w:eastAsia="宋体" w:cs="宋体"/>
                <w:sz w:val="24"/>
                <w:szCs w:val="24"/>
              </w:rPr>
            </w:pPr>
            <w:r>
              <w:rPr>
                <w:rFonts w:hint="eastAsia" w:ascii="宋体" w:hAnsi="宋体" w:eastAsia="宋体" w:cs="宋体"/>
                <w:sz w:val="24"/>
              </w:rPr>
              <w:t>2.熟悉日常饮食种类，掌握基本的饮食句型；</w:t>
            </w:r>
          </w:p>
          <w:p w14:paraId="1039F68F">
            <w:pPr>
              <w:tabs>
                <w:tab w:val="left" w:pos="312"/>
              </w:tabs>
              <w:topLinePunct/>
              <w:ind w:left="240" w:hanging="240" w:hangingChars="100"/>
              <w:contextualSpacing/>
              <w:jc w:val="both"/>
              <w:rPr>
                <w:rFonts w:ascii="宋体" w:hAnsi="宋体" w:eastAsia="宋体" w:cs="宋体"/>
                <w:sz w:val="24"/>
              </w:rPr>
            </w:pPr>
            <w:r>
              <w:rPr>
                <w:rFonts w:hint="eastAsia" w:ascii="宋体" w:hAnsi="宋体" w:eastAsia="宋体" w:cs="宋体"/>
                <w:sz w:val="24"/>
              </w:rPr>
              <w:t>3.能</w:t>
            </w:r>
            <w:r>
              <w:rPr>
                <w:rFonts w:hint="eastAsia" w:ascii="宋体" w:hAnsi="宋体" w:eastAsia="宋体" w:cs="宋体"/>
                <w:sz w:val="24"/>
                <w:szCs w:val="24"/>
              </w:rPr>
              <w:t>围绕食物进行简单对话，对食物的喜好进行简单评论；</w:t>
            </w:r>
          </w:p>
          <w:p w14:paraId="33A15FB8">
            <w:pPr>
              <w:tabs>
                <w:tab w:val="left" w:pos="312"/>
              </w:tabs>
              <w:topLinePunct/>
              <w:ind w:left="240" w:hanging="240" w:hangingChars="100"/>
              <w:contextualSpacing/>
              <w:jc w:val="both"/>
              <w:rPr>
                <w:rFonts w:ascii="宋体" w:hAnsi="宋体" w:eastAsia="宋体" w:cs="宋体"/>
                <w:sz w:val="24"/>
              </w:rPr>
            </w:pPr>
            <w:r>
              <w:rPr>
                <w:rFonts w:hint="eastAsia" w:ascii="宋体" w:hAnsi="宋体" w:eastAsia="宋体" w:cs="宋体"/>
                <w:sz w:val="24"/>
                <w:szCs w:val="24"/>
              </w:rPr>
              <w:t>4.熟悉韩国的餐桌礼仪，能在食堂、餐厅、咖啡厅点单、结账</w:t>
            </w:r>
          </w:p>
        </w:tc>
        <w:tc>
          <w:tcPr>
            <w:tcW w:w="709" w:type="dxa"/>
            <w:vMerge w:val="continue"/>
            <w:vAlign w:val="center"/>
          </w:tcPr>
          <w:p w14:paraId="6476DFAD">
            <w:pPr>
              <w:topLinePunct/>
              <w:ind w:firstLine="480" w:firstLineChars="200"/>
              <w:jc w:val="center"/>
              <w:rPr>
                <w:rFonts w:ascii="宋体" w:hAnsi="宋体" w:eastAsia="宋体" w:cs="宋体"/>
                <w:sz w:val="24"/>
              </w:rPr>
            </w:pPr>
          </w:p>
        </w:tc>
      </w:tr>
      <w:tr w14:paraId="20171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1A2FCED7">
            <w:pPr>
              <w:topLinePunct/>
              <w:jc w:val="center"/>
              <w:rPr>
                <w:rFonts w:ascii="宋体" w:hAnsi="宋体" w:eastAsia="宋体" w:cs="宋体"/>
                <w:sz w:val="24"/>
              </w:rPr>
            </w:pPr>
          </w:p>
        </w:tc>
        <w:tc>
          <w:tcPr>
            <w:tcW w:w="1701" w:type="dxa"/>
            <w:vAlign w:val="center"/>
          </w:tcPr>
          <w:p w14:paraId="6A120335">
            <w:pPr>
              <w:topLinePunct/>
              <w:jc w:val="center"/>
              <w:rPr>
                <w:rFonts w:ascii="宋体" w:hAnsi="宋体" w:eastAsia="宋体" w:cs="宋体"/>
                <w:sz w:val="24"/>
                <w:szCs w:val="24"/>
              </w:rPr>
            </w:pPr>
            <w:r>
              <w:rPr>
                <w:rFonts w:hint="eastAsia" w:ascii="宋体" w:hAnsi="宋体" w:eastAsia="宋体" w:cs="宋体"/>
                <w:sz w:val="24"/>
                <w:szCs w:val="24"/>
              </w:rPr>
              <w:t>购物</w:t>
            </w:r>
          </w:p>
        </w:tc>
        <w:tc>
          <w:tcPr>
            <w:tcW w:w="4653" w:type="dxa"/>
            <w:vAlign w:val="center"/>
          </w:tcPr>
          <w:p w14:paraId="0C324207">
            <w:pPr>
              <w:topLinePunct/>
              <w:ind w:left="240" w:hanging="240" w:hangingChars="100"/>
              <w:contextualSpacing/>
              <w:jc w:val="both"/>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w:t>
            </w:r>
            <w:r>
              <w:rPr>
                <w:rFonts w:hint="eastAsia" w:ascii="宋体" w:hAnsi="宋体" w:eastAsia="宋体" w:cs="宋体"/>
                <w:sz w:val="24"/>
              </w:rPr>
              <w:t>熟悉韩语货币量词，能对货品金额进行准确复述；</w:t>
            </w:r>
          </w:p>
          <w:p w14:paraId="3658AD03">
            <w:pPr>
              <w:topLinePunct/>
              <w:ind w:left="240" w:hanging="240" w:hangingChars="100"/>
              <w:contextualSpacing/>
              <w:jc w:val="both"/>
              <w:rPr>
                <w:rFonts w:ascii="宋体" w:hAnsi="宋体" w:eastAsia="宋体" w:cs="宋体"/>
                <w:sz w:val="24"/>
                <w:szCs w:val="24"/>
              </w:rPr>
            </w:pPr>
            <w:r>
              <w:rPr>
                <w:rFonts w:hint="eastAsia" w:ascii="宋体" w:hAnsi="宋体" w:eastAsia="宋体" w:cs="宋体"/>
                <w:sz w:val="24"/>
                <w:szCs w:val="24"/>
              </w:rPr>
              <w:t>2</w:t>
            </w:r>
            <w:r>
              <w:rPr>
                <w:rFonts w:ascii="宋体" w:hAnsi="宋体" w:eastAsia="宋体" w:cs="宋体"/>
                <w:sz w:val="24"/>
                <w:szCs w:val="24"/>
              </w:rPr>
              <w:t>.</w:t>
            </w:r>
            <w:r>
              <w:rPr>
                <w:rFonts w:hint="eastAsia" w:ascii="宋体" w:hAnsi="宋体" w:eastAsia="宋体" w:cs="宋体"/>
                <w:sz w:val="24"/>
                <w:szCs w:val="24"/>
              </w:rPr>
              <w:t>熟悉与购物相关的句型，如买什么、买多少、多少钱等；</w:t>
            </w:r>
          </w:p>
          <w:p w14:paraId="3EB4E97B">
            <w:pPr>
              <w:topLinePunct/>
              <w:ind w:left="240" w:hanging="240" w:hangingChars="100"/>
              <w:contextualSpacing/>
              <w:jc w:val="both"/>
              <w:rPr>
                <w:rFonts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w:t>
            </w:r>
            <w:r>
              <w:rPr>
                <w:rFonts w:hint="eastAsia" w:ascii="宋体" w:hAnsi="宋体" w:eastAsia="宋体" w:cs="宋体"/>
                <w:sz w:val="24"/>
              </w:rPr>
              <w:t>了解日常生活采购用语，能用韩语进行简单询价、议价</w:t>
            </w:r>
          </w:p>
        </w:tc>
        <w:tc>
          <w:tcPr>
            <w:tcW w:w="709" w:type="dxa"/>
            <w:vMerge w:val="continue"/>
            <w:vAlign w:val="center"/>
          </w:tcPr>
          <w:p w14:paraId="0FB54C41">
            <w:pPr>
              <w:topLinePunct/>
              <w:ind w:firstLine="480" w:firstLineChars="200"/>
              <w:jc w:val="center"/>
              <w:rPr>
                <w:rFonts w:ascii="宋体" w:hAnsi="宋体" w:eastAsia="宋体" w:cs="宋体"/>
                <w:sz w:val="24"/>
              </w:rPr>
            </w:pPr>
          </w:p>
        </w:tc>
      </w:tr>
      <w:tr w14:paraId="51F92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770EA99E">
            <w:pPr>
              <w:topLinePunct/>
              <w:jc w:val="center"/>
              <w:rPr>
                <w:rFonts w:ascii="宋体" w:hAnsi="宋体" w:eastAsia="宋体" w:cs="宋体"/>
                <w:sz w:val="24"/>
              </w:rPr>
            </w:pPr>
          </w:p>
        </w:tc>
        <w:tc>
          <w:tcPr>
            <w:tcW w:w="1701" w:type="dxa"/>
            <w:vAlign w:val="center"/>
          </w:tcPr>
          <w:p w14:paraId="01290D74">
            <w:pPr>
              <w:topLinePunct/>
              <w:jc w:val="center"/>
              <w:rPr>
                <w:rFonts w:ascii="宋体" w:hAnsi="宋体" w:eastAsia="宋体" w:cs="宋体"/>
                <w:sz w:val="24"/>
                <w:szCs w:val="24"/>
              </w:rPr>
            </w:pPr>
            <w:r>
              <w:rPr>
                <w:rFonts w:hint="eastAsia" w:ascii="宋体" w:hAnsi="宋体" w:eastAsia="宋体" w:cs="宋体"/>
                <w:sz w:val="24"/>
                <w:szCs w:val="24"/>
              </w:rPr>
              <w:t>衣物</w:t>
            </w:r>
          </w:p>
        </w:tc>
        <w:tc>
          <w:tcPr>
            <w:tcW w:w="4653" w:type="dxa"/>
            <w:vAlign w:val="center"/>
          </w:tcPr>
          <w:p w14:paraId="713B548F">
            <w:pPr>
              <w:tabs>
                <w:tab w:val="left" w:pos="312"/>
              </w:tabs>
              <w:topLinePunct/>
              <w:ind w:left="240" w:hanging="240" w:hangingChars="100"/>
              <w:contextualSpacing/>
              <w:jc w:val="both"/>
              <w:rPr>
                <w:rFonts w:ascii="宋体" w:hAnsi="宋体" w:eastAsia="宋体" w:cs="宋体"/>
                <w:sz w:val="24"/>
                <w:szCs w:val="24"/>
              </w:rPr>
            </w:pPr>
            <w:r>
              <w:rPr>
                <w:rFonts w:hint="eastAsia" w:ascii="宋体" w:hAnsi="宋体" w:eastAsia="宋体" w:cs="宋体"/>
                <w:sz w:val="24"/>
                <w:szCs w:val="24"/>
              </w:rPr>
              <w:t>1.熟悉衣物词汇和相关句型，能用韩语对不同衣物特点进行描述；</w:t>
            </w:r>
          </w:p>
          <w:p w14:paraId="76DE2C2E">
            <w:pPr>
              <w:tabs>
                <w:tab w:val="left" w:pos="312"/>
              </w:tabs>
              <w:topLinePunct/>
              <w:ind w:left="240" w:hanging="240" w:hangingChars="100"/>
              <w:contextualSpacing/>
              <w:jc w:val="both"/>
              <w:rPr>
                <w:rFonts w:ascii="宋体" w:hAnsi="宋体" w:eastAsia="宋体" w:cs="宋体"/>
                <w:sz w:val="24"/>
                <w:szCs w:val="24"/>
              </w:rPr>
            </w:pPr>
            <w:r>
              <w:rPr>
                <w:rFonts w:hint="eastAsia" w:ascii="宋体" w:hAnsi="宋体" w:eastAsia="宋体" w:cs="宋体"/>
                <w:sz w:val="24"/>
                <w:szCs w:val="24"/>
              </w:rPr>
              <w:t>2.掌握颜色和尺寸的基础词汇，能描述衣服的颜色和尺寸；</w:t>
            </w:r>
          </w:p>
          <w:p w14:paraId="05CCFA96">
            <w:pPr>
              <w:tabs>
                <w:tab w:val="left" w:pos="312"/>
              </w:tabs>
              <w:topLinePunct/>
              <w:ind w:left="240" w:hanging="240" w:hangingChars="100"/>
              <w:contextualSpacing/>
              <w:jc w:val="both"/>
              <w:rPr>
                <w:rFonts w:ascii="宋体" w:hAnsi="宋体" w:eastAsia="宋体" w:cs="宋体"/>
                <w:sz w:val="24"/>
                <w:szCs w:val="24"/>
              </w:rPr>
            </w:pPr>
            <w:r>
              <w:rPr>
                <w:rFonts w:hint="eastAsia" w:ascii="宋体" w:hAnsi="宋体" w:eastAsia="宋体" w:cs="宋体"/>
                <w:sz w:val="24"/>
                <w:szCs w:val="24"/>
              </w:rPr>
              <w:t>3.熟悉与衣物相关的句型，能表达对衣服和颜色的喜好，就衣物采购进行基础对话</w:t>
            </w:r>
          </w:p>
        </w:tc>
        <w:tc>
          <w:tcPr>
            <w:tcW w:w="709" w:type="dxa"/>
            <w:vMerge w:val="continue"/>
            <w:vAlign w:val="center"/>
          </w:tcPr>
          <w:p w14:paraId="0C7B23D7">
            <w:pPr>
              <w:topLinePunct/>
              <w:ind w:firstLine="480" w:firstLineChars="200"/>
              <w:jc w:val="center"/>
              <w:rPr>
                <w:rFonts w:ascii="宋体" w:hAnsi="宋体" w:eastAsia="宋体" w:cs="宋体"/>
                <w:sz w:val="24"/>
              </w:rPr>
            </w:pPr>
          </w:p>
        </w:tc>
      </w:tr>
      <w:tr w14:paraId="7FBEC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6B0CBDCB">
            <w:pPr>
              <w:topLinePunct/>
              <w:jc w:val="center"/>
              <w:rPr>
                <w:rFonts w:ascii="宋体" w:hAnsi="宋体" w:eastAsia="宋体" w:cs="宋体"/>
                <w:sz w:val="24"/>
              </w:rPr>
            </w:pPr>
          </w:p>
        </w:tc>
        <w:tc>
          <w:tcPr>
            <w:tcW w:w="1701" w:type="dxa"/>
            <w:vAlign w:val="center"/>
          </w:tcPr>
          <w:p w14:paraId="58D7DA2C">
            <w:pPr>
              <w:topLinePunct/>
              <w:jc w:val="center"/>
              <w:rPr>
                <w:rFonts w:ascii="宋体" w:hAnsi="宋体" w:eastAsia="宋体" w:cs="宋体"/>
                <w:sz w:val="24"/>
                <w:szCs w:val="24"/>
              </w:rPr>
            </w:pPr>
            <w:r>
              <w:rPr>
                <w:rFonts w:hint="eastAsia" w:cs="宋体" w:asciiTheme="minorEastAsia" w:hAnsiTheme="minorEastAsia"/>
                <w:sz w:val="24"/>
                <w:szCs w:val="24"/>
              </w:rPr>
              <w:t>时间</w:t>
            </w:r>
          </w:p>
        </w:tc>
        <w:tc>
          <w:tcPr>
            <w:tcW w:w="4653" w:type="dxa"/>
            <w:vAlign w:val="center"/>
          </w:tcPr>
          <w:p w14:paraId="138C321C">
            <w:pPr>
              <w:topLinePunct/>
              <w:ind w:left="240" w:hanging="240" w:hangingChars="100"/>
              <w:contextualSpacing/>
              <w:jc w:val="both"/>
              <w:rPr>
                <w:rFonts w:ascii="宋体" w:hAnsi="宋体" w:eastAsia="宋体" w:cs="宋体"/>
                <w:sz w:val="24"/>
                <w:szCs w:val="24"/>
              </w:rPr>
            </w:pPr>
            <w:r>
              <w:rPr>
                <w:rFonts w:hint="eastAsia" w:ascii="宋体" w:hAnsi="宋体" w:eastAsia="宋体" w:cs="宋体"/>
                <w:sz w:val="24"/>
                <w:szCs w:val="24"/>
              </w:rPr>
              <w:t>1.掌握时刻、星期、年、月、日、季节的词汇和基础句型；</w:t>
            </w:r>
          </w:p>
          <w:p w14:paraId="107F2D9C">
            <w:pPr>
              <w:topLinePunct/>
              <w:ind w:left="240" w:hanging="240" w:hangingChars="100"/>
              <w:contextualSpacing/>
              <w:jc w:val="both"/>
              <w:rPr>
                <w:rFonts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rPr>
              <w:t>掌握与约定时间相关的词汇和基础句型，能就预约和改期的开展简单对话；</w:t>
            </w:r>
          </w:p>
          <w:p w14:paraId="05BD1018">
            <w:pPr>
              <w:topLinePunct/>
              <w:ind w:left="240" w:hanging="240" w:hangingChars="100"/>
              <w:contextualSpacing/>
              <w:jc w:val="both"/>
              <w:rPr>
                <w:rFonts w:ascii="宋体" w:hAnsi="宋体" w:eastAsia="宋体" w:cs="宋体"/>
                <w:sz w:val="24"/>
                <w:szCs w:val="24"/>
              </w:rPr>
            </w:pPr>
            <w:r>
              <w:rPr>
                <w:rFonts w:hint="eastAsia" w:cs="宋体" w:asciiTheme="minorEastAsia" w:hAnsiTheme="minorEastAsia"/>
                <w:sz w:val="24"/>
                <w:szCs w:val="24"/>
              </w:rPr>
              <w:t>3</w:t>
            </w:r>
            <w:r>
              <w:rPr>
                <w:rFonts w:cs="宋体" w:asciiTheme="minorEastAsia" w:hAnsiTheme="minorEastAsia"/>
                <w:sz w:val="24"/>
                <w:szCs w:val="24"/>
              </w:rPr>
              <w:t>.</w:t>
            </w:r>
            <w:r>
              <w:rPr>
                <w:rFonts w:hint="eastAsia" w:ascii="宋体" w:hAnsi="宋体" w:eastAsia="宋体" w:cs="宋体"/>
                <w:sz w:val="24"/>
                <w:szCs w:val="24"/>
              </w:rPr>
              <w:t>能围绕日程表开展应约和拒绝的基础对话</w:t>
            </w:r>
          </w:p>
        </w:tc>
        <w:tc>
          <w:tcPr>
            <w:tcW w:w="709" w:type="dxa"/>
            <w:vMerge w:val="continue"/>
            <w:vAlign w:val="center"/>
          </w:tcPr>
          <w:p w14:paraId="5D04534B">
            <w:pPr>
              <w:topLinePunct/>
              <w:ind w:firstLine="480" w:firstLineChars="200"/>
              <w:jc w:val="center"/>
              <w:rPr>
                <w:rFonts w:ascii="宋体" w:hAnsi="宋体" w:eastAsia="宋体" w:cs="宋体"/>
                <w:sz w:val="24"/>
              </w:rPr>
            </w:pPr>
          </w:p>
        </w:tc>
      </w:tr>
      <w:tr w14:paraId="51614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4794B209">
            <w:pPr>
              <w:topLinePunct/>
              <w:jc w:val="center"/>
              <w:rPr>
                <w:rFonts w:ascii="宋体" w:hAnsi="宋体" w:eastAsia="宋体" w:cs="宋体"/>
                <w:sz w:val="24"/>
              </w:rPr>
            </w:pPr>
          </w:p>
        </w:tc>
        <w:tc>
          <w:tcPr>
            <w:tcW w:w="1701" w:type="dxa"/>
            <w:vAlign w:val="center"/>
          </w:tcPr>
          <w:p w14:paraId="369D8DCF">
            <w:pPr>
              <w:topLinePunct/>
              <w:jc w:val="center"/>
              <w:rPr>
                <w:rFonts w:ascii="宋体" w:hAnsi="宋体" w:eastAsia="宋体" w:cs="宋体"/>
                <w:sz w:val="24"/>
                <w:szCs w:val="24"/>
              </w:rPr>
            </w:pPr>
            <w:r>
              <w:rPr>
                <w:rFonts w:hint="eastAsia" w:ascii="宋体" w:hAnsi="宋体" w:eastAsia="宋体" w:cs="宋体"/>
                <w:sz w:val="24"/>
                <w:szCs w:val="24"/>
              </w:rPr>
              <w:t>住房</w:t>
            </w:r>
          </w:p>
        </w:tc>
        <w:tc>
          <w:tcPr>
            <w:tcW w:w="4653" w:type="dxa"/>
            <w:vAlign w:val="center"/>
          </w:tcPr>
          <w:p w14:paraId="6B3E880B">
            <w:pPr>
              <w:topLinePunct/>
              <w:ind w:left="240" w:hanging="240" w:hangingChars="100"/>
              <w:contextualSpacing/>
              <w:jc w:val="both"/>
              <w:rPr>
                <w:rFonts w:ascii="宋体" w:hAnsi="宋体" w:eastAsia="宋体" w:cs="宋体"/>
                <w:sz w:val="24"/>
                <w:szCs w:val="24"/>
              </w:rPr>
            </w:pPr>
            <w:r>
              <w:rPr>
                <w:rFonts w:hint="eastAsia" w:ascii="宋体" w:hAnsi="宋体" w:eastAsia="宋体" w:cs="宋体"/>
                <w:sz w:val="24"/>
                <w:szCs w:val="24"/>
              </w:rPr>
              <w:t>1.掌握主要房型的词汇，能简单描述房屋情况；</w:t>
            </w:r>
          </w:p>
          <w:p w14:paraId="7EE6D58D">
            <w:pPr>
              <w:topLinePunct/>
              <w:ind w:left="240" w:hanging="240" w:hangingChars="100"/>
              <w:contextualSpacing/>
              <w:jc w:val="both"/>
              <w:rPr>
                <w:rFonts w:ascii="宋体" w:hAnsi="宋体" w:eastAsia="宋体" w:cs="宋体"/>
                <w:sz w:val="24"/>
                <w:szCs w:val="24"/>
              </w:rPr>
            </w:pPr>
            <w:r>
              <w:rPr>
                <w:rFonts w:hint="eastAsia" w:ascii="宋体" w:hAnsi="宋体" w:eastAsia="宋体" w:cs="宋体"/>
                <w:sz w:val="24"/>
                <w:szCs w:val="24"/>
              </w:rPr>
              <w:t>2.掌握主要房间和家具的词汇和基础句型，能简单描述相关住房：房屋、房间、家具、位置、状态等；</w:t>
            </w:r>
          </w:p>
          <w:p w14:paraId="3E78959C">
            <w:pPr>
              <w:topLinePunct/>
              <w:ind w:left="240" w:hanging="240" w:hangingChars="100"/>
              <w:contextualSpacing/>
              <w:jc w:val="both"/>
              <w:rPr>
                <w:rFonts w:ascii="宋体" w:hAnsi="宋体" w:eastAsia="宋体" w:cs="宋体"/>
                <w:sz w:val="24"/>
                <w:szCs w:val="24"/>
              </w:rPr>
            </w:pPr>
            <w:r>
              <w:rPr>
                <w:rFonts w:hint="eastAsia" w:ascii="宋体" w:hAnsi="宋体" w:eastAsia="宋体" w:cs="宋体"/>
                <w:sz w:val="24"/>
                <w:szCs w:val="24"/>
              </w:rPr>
              <w:t>3.了解韩国地址构成，能描述日常居住地址</w:t>
            </w:r>
          </w:p>
        </w:tc>
        <w:tc>
          <w:tcPr>
            <w:tcW w:w="709" w:type="dxa"/>
            <w:vMerge w:val="continue"/>
            <w:vAlign w:val="center"/>
          </w:tcPr>
          <w:p w14:paraId="1D64B188">
            <w:pPr>
              <w:topLinePunct/>
              <w:ind w:firstLine="480" w:firstLineChars="200"/>
              <w:jc w:val="center"/>
              <w:rPr>
                <w:rFonts w:ascii="宋体" w:hAnsi="宋体" w:eastAsia="宋体" w:cs="宋体"/>
                <w:sz w:val="24"/>
              </w:rPr>
            </w:pPr>
          </w:p>
        </w:tc>
      </w:tr>
      <w:tr w14:paraId="5F77E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27D82606">
            <w:pPr>
              <w:topLinePunct/>
              <w:jc w:val="center"/>
              <w:rPr>
                <w:rFonts w:ascii="宋体" w:hAnsi="宋体" w:eastAsia="宋体" w:cs="宋体"/>
                <w:sz w:val="24"/>
              </w:rPr>
            </w:pPr>
          </w:p>
        </w:tc>
        <w:tc>
          <w:tcPr>
            <w:tcW w:w="1701" w:type="dxa"/>
            <w:vAlign w:val="center"/>
          </w:tcPr>
          <w:p w14:paraId="76DC1A39">
            <w:pPr>
              <w:topLinePunct/>
              <w:jc w:val="center"/>
              <w:rPr>
                <w:rFonts w:ascii="宋体" w:hAnsi="宋体" w:eastAsia="宋体" w:cs="宋体"/>
                <w:sz w:val="24"/>
                <w:szCs w:val="24"/>
              </w:rPr>
            </w:pPr>
            <w:r>
              <w:rPr>
                <w:rFonts w:hint="eastAsia" w:ascii="宋体" w:hAnsi="宋体" w:eastAsia="宋体" w:cs="宋体"/>
                <w:sz w:val="24"/>
                <w:szCs w:val="24"/>
              </w:rPr>
              <w:t>交通</w:t>
            </w:r>
          </w:p>
        </w:tc>
        <w:tc>
          <w:tcPr>
            <w:tcW w:w="4653" w:type="dxa"/>
            <w:vAlign w:val="center"/>
          </w:tcPr>
          <w:p w14:paraId="29CDE963">
            <w:pPr>
              <w:tabs>
                <w:tab w:val="left" w:pos="312"/>
              </w:tabs>
              <w:topLinePunct/>
              <w:ind w:left="240" w:hanging="240" w:hangingChars="100"/>
              <w:contextualSpacing/>
              <w:jc w:val="both"/>
              <w:rPr>
                <w:rFonts w:ascii="宋体" w:hAnsi="宋体" w:eastAsia="宋体" w:cs="宋体"/>
                <w:sz w:val="24"/>
                <w:szCs w:val="24"/>
              </w:rPr>
            </w:pPr>
            <w:r>
              <w:rPr>
                <w:rFonts w:hint="eastAsia" w:ascii="宋体" w:hAnsi="宋体" w:eastAsia="宋体" w:cs="宋体"/>
                <w:sz w:val="24"/>
                <w:szCs w:val="24"/>
              </w:rPr>
              <w:t>1.掌握基础交通工具的词汇和短语，能描述采取何种交通工具通勤；</w:t>
            </w:r>
          </w:p>
          <w:p w14:paraId="20D345CE">
            <w:pPr>
              <w:tabs>
                <w:tab w:val="left" w:pos="312"/>
              </w:tabs>
              <w:topLinePunct/>
              <w:ind w:left="240" w:hanging="240" w:hangingChars="100"/>
              <w:contextualSpacing/>
              <w:jc w:val="both"/>
              <w:rPr>
                <w:rFonts w:ascii="宋体" w:hAnsi="宋体" w:eastAsia="宋体" w:cs="宋体"/>
                <w:sz w:val="24"/>
                <w:szCs w:val="24"/>
              </w:rPr>
            </w:pPr>
            <w:r>
              <w:rPr>
                <w:rFonts w:hint="eastAsia" w:ascii="宋体" w:hAnsi="宋体" w:eastAsia="宋体" w:cs="宋体"/>
                <w:sz w:val="24"/>
                <w:szCs w:val="24"/>
              </w:rPr>
              <w:t>2.掌握与问路相关的基础句型，能准确地问路和指路；</w:t>
            </w:r>
          </w:p>
          <w:p w14:paraId="47B8DD4B">
            <w:pPr>
              <w:tabs>
                <w:tab w:val="left" w:pos="312"/>
              </w:tabs>
              <w:topLinePunct/>
              <w:ind w:left="240" w:hanging="240" w:hangingChars="100"/>
              <w:contextualSpacing/>
              <w:jc w:val="both"/>
              <w:rPr>
                <w:rFonts w:ascii="宋体" w:hAnsi="宋体" w:eastAsia="宋体" w:cs="宋体"/>
                <w:sz w:val="24"/>
                <w:szCs w:val="24"/>
              </w:rPr>
            </w:pPr>
            <w:r>
              <w:rPr>
                <w:rFonts w:hint="eastAsia" w:ascii="宋体" w:hAnsi="宋体" w:eastAsia="宋体" w:cs="宋体"/>
                <w:sz w:val="24"/>
                <w:szCs w:val="24"/>
              </w:rPr>
              <w:t>3.掌握与方位相关词汇和基础句型，能运用方位词汇和句型描述城市和国家的位置</w:t>
            </w:r>
          </w:p>
        </w:tc>
        <w:tc>
          <w:tcPr>
            <w:tcW w:w="709" w:type="dxa"/>
            <w:vMerge w:val="continue"/>
            <w:vAlign w:val="center"/>
          </w:tcPr>
          <w:p w14:paraId="07823E7A">
            <w:pPr>
              <w:topLinePunct/>
              <w:ind w:firstLine="480" w:firstLineChars="200"/>
              <w:jc w:val="center"/>
              <w:rPr>
                <w:rFonts w:ascii="宋体" w:hAnsi="宋体" w:eastAsia="宋体" w:cs="宋体"/>
                <w:sz w:val="24"/>
              </w:rPr>
            </w:pPr>
          </w:p>
        </w:tc>
      </w:tr>
      <w:tr w14:paraId="760D8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96" w:type="dxa"/>
            <w:vMerge w:val="restart"/>
            <w:vAlign w:val="center"/>
          </w:tcPr>
          <w:p w14:paraId="0BCA6B70">
            <w:pPr>
              <w:topLinePunct/>
              <w:jc w:val="center"/>
              <w:rPr>
                <w:rFonts w:ascii="宋体" w:hAnsi="宋体" w:eastAsia="宋体" w:cs="宋体"/>
                <w:sz w:val="24"/>
              </w:rPr>
            </w:pPr>
            <w:r>
              <w:rPr>
                <w:rFonts w:hint="eastAsia" w:cs="仿宋" w:asciiTheme="minorEastAsia" w:hAnsiTheme="minorEastAsia"/>
                <w:kern w:val="0"/>
                <w:sz w:val="24"/>
                <w:szCs w:val="24"/>
              </w:rPr>
              <w:t>商务主题术语和句型</w:t>
            </w:r>
          </w:p>
        </w:tc>
        <w:tc>
          <w:tcPr>
            <w:tcW w:w="1701" w:type="dxa"/>
            <w:vAlign w:val="center"/>
          </w:tcPr>
          <w:p w14:paraId="683D56C1">
            <w:pPr>
              <w:topLinePunct/>
              <w:jc w:val="center"/>
              <w:rPr>
                <w:rFonts w:ascii="宋体" w:hAnsi="宋体" w:cs="宋体"/>
                <w:sz w:val="24"/>
              </w:rPr>
            </w:pPr>
            <w:r>
              <w:rPr>
                <w:rFonts w:hint="eastAsia" w:cs="宋体" w:asciiTheme="minorEastAsia" w:hAnsiTheme="minorEastAsia"/>
                <w:sz w:val="24"/>
                <w:szCs w:val="24"/>
              </w:rPr>
              <w:t>文秘类术语</w:t>
            </w:r>
          </w:p>
        </w:tc>
        <w:tc>
          <w:tcPr>
            <w:tcW w:w="4653" w:type="dxa"/>
            <w:vAlign w:val="center"/>
          </w:tcPr>
          <w:p w14:paraId="33951281">
            <w:pPr>
              <w:topLinePunc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1.掌握至少5</w:t>
            </w:r>
            <w:r>
              <w:rPr>
                <w:rFonts w:cs="宋体" w:asciiTheme="minorEastAsia" w:hAnsiTheme="minorEastAsia"/>
                <w:sz w:val="24"/>
                <w:szCs w:val="24"/>
              </w:rPr>
              <w:t>0</w:t>
            </w:r>
            <w:r>
              <w:rPr>
                <w:rFonts w:hint="eastAsia" w:cs="宋体" w:asciiTheme="minorEastAsia" w:hAnsiTheme="minorEastAsia"/>
                <w:sz w:val="24"/>
                <w:szCs w:val="24"/>
              </w:rPr>
              <w:t xml:space="preserve">个商务秘书所需的基础交际词汇； </w:t>
            </w:r>
          </w:p>
          <w:p w14:paraId="252C2580">
            <w:pPr>
              <w:topLinePunct/>
              <w:ind w:left="240" w:hanging="240" w:hangingChars="100"/>
              <w:contextualSpacing/>
              <w:jc w:val="both"/>
              <w:rPr>
                <w:rFonts w:ascii="宋体" w:hAnsi="宋体" w:eastAsia="宋体" w:cs="宋体"/>
                <w:sz w:val="24"/>
              </w:rPr>
            </w:pPr>
            <w:r>
              <w:rPr>
                <w:rFonts w:hint="eastAsia" w:cs="宋体" w:asciiTheme="minorEastAsia" w:hAnsiTheme="minorEastAsia"/>
                <w:sz w:val="24"/>
                <w:szCs w:val="24"/>
              </w:rPr>
              <w:t>2.熟悉文秘行政方向的专业术语，能就不同商务交际情境选择恰当的专业词汇</w:t>
            </w:r>
          </w:p>
        </w:tc>
        <w:tc>
          <w:tcPr>
            <w:tcW w:w="709" w:type="dxa"/>
            <w:vMerge w:val="restart"/>
            <w:vAlign w:val="center"/>
          </w:tcPr>
          <w:p w14:paraId="2BCC8B12">
            <w:pPr>
              <w:topLinePunct/>
              <w:jc w:val="center"/>
              <w:rPr>
                <w:rFonts w:ascii="宋体" w:hAnsi="宋体" w:eastAsia="宋体" w:cs="宋体"/>
                <w:sz w:val="24"/>
              </w:rPr>
            </w:pPr>
            <w:r>
              <w:rPr>
                <w:rFonts w:hint="eastAsia" w:ascii="宋体" w:hAnsi="宋体" w:eastAsia="宋体" w:cs="宋体"/>
                <w:sz w:val="24"/>
              </w:rPr>
              <w:t>32</w:t>
            </w:r>
          </w:p>
        </w:tc>
      </w:tr>
      <w:tr w14:paraId="12DE8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27A3BB60">
            <w:pPr>
              <w:topLinePunct/>
              <w:jc w:val="center"/>
              <w:rPr>
                <w:rFonts w:ascii="宋体" w:hAnsi="宋体" w:eastAsia="宋体" w:cs="宋体"/>
                <w:sz w:val="24"/>
              </w:rPr>
            </w:pPr>
          </w:p>
        </w:tc>
        <w:tc>
          <w:tcPr>
            <w:tcW w:w="1701" w:type="dxa"/>
            <w:vAlign w:val="center"/>
          </w:tcPr>
          <w:p w14:paraId="2C8B330E">
            <w:pPr>
              <w:topLinePunct/>
              <w:jc w:val="center"/>
              <w:rPr>
                <w:rFonts w:ascii="宋体" w:hAnsi="宋体" w:cs="宋体"/>
                <w:sz w:val="24"/>
              </w:rPr>
            </w:pPr>
            <w:r>
              <w:rPr>
                <w:rFonts w:hint="eastAsia" w:cs="宋体" w:asciiTheme="minorEastAsia" w:hAnsiTheme="minorEastAsia"/>
                <w:sz w:val="24"/>
                <w:szCs w:val="24"/>
              </w:rPr>
              <w:t>营销类术语</w:t>
            </w:r>
          </w:p>
        </w:tc>
        <w:tc>
          <w:tcPr>
            <w:tcW w:w="4653" w:type="dxa"/>
            <w:vAlign w:val="center"/>
          </w:tcPr>
          <w:p w14:paraId="0ADFB2AB">
            <w:pPr>
              <w:topLinePunc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1.掌握外贸进出口和市场营销方向的基础交际词汇各5</w:t>
            </w:r>
            <w:r>
              <w:rPr>
                <w:rFonts w:cs="宋体" w:asciiTheme="minorEastAsia" w:hAnsiTheme="minorEastAsia"/>
                <w:sz w:val="24"/>
                <w:szCs w:val="24"/>
              </w:rPr>
              <w:t>0</w:t>
            </w:r>
            <w:r>
              <w:rPr>
                <w:rFonts w:hint="eastAsia" w:cs="宋体" w:asciiTheme="minorEastAsia" w:hAnsiTheme="minorEastAsia"/>
                <w:sz w:val="24"/>
                <w:szCs w:val="24"/>
              </w:rPr>
              <w:t>个；</w:t>
            </w:r>
          </w:p>
          <w:p w14:paraId="79C5625F">
            <w:pPr>
              <w:topLinePunct/>
              <w:ind w:left="240" w:hanging="240" w:hangingChars="100"/>
              <w:contextualSpacing/>
              <w:jc w:val="both"/>
              <w:rPr>
                <w:rFonts w:ascii="宋体" w:hAnsi="宋体" w:eastAsia="宋体" w:cs="宋体"/>
                <w:sz w:val="24"/>
              </w:rPr>
            </w:pPr>
            <w:r>
              <w:rPr>
                <w:rFonts w:hint="eastAsia" w:cs="宋体" w:asciiTheme="minorEastAsia" w:hAnsiTheme="minorEastAsia"/>
                <w:sz w:val="24"/>
                <w:szCs w:val="24"/>
              </w:rPr>
              <w:t>2.熟悉与外贸和营销相关的专业术语，如：运输、物流、贸易、关税、策展、电商、询盘等，能就不同商务交际情境选择恰当的专业词汇</w:t>
            </w:r>
          </w:p>
        </w:tc>
        <w:tc>
          <w:tcPr>
            <w:tcW w:w="709" w:type="dxa"/>
            <w:vMerge w:val="continue"/>
            <w:vAlign w:val="center"/>
          </w:tcPr>
          <w:p w14:paraId="569898A1">
            <w:pPr>
              <w:topLinePunct/>
              <w:ind w:firstLine="480" w:firstLineChars="200"/>
              <w:jc w:val="center"/>
              <w:rPr>
                <w:rFonts w:ascii="宋体" w:hAnsi="宋体" w:eastAsia="宋体" w:cs="宋体"/>
                <w:sz w:val="24"/>
              </w:rPr>
            </w:pPr>
          </w:p>
        </w:tc>
      </w:tr>
      <w:tr w14:paraId="7A0FE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41D922D0">
            <w:pPr>
              <w:topLinePunct/>
              <w:jc w:val="center"/>
              <w:rPr>
                <w:rFonts w:ascii="宋体" w:hAnsi="宋体" w:eastAsia="宋体" w:cs="宋体"/>
                <w:sz w:val="24"/>
              </w:rPr>
            </w:pPr>
          </w:p>
        </w:tc>
        <w:tc>
          <w:tcPr>
            <w:tcW w:w="1701" w:type="dxa"/>
            <w:vAlign w:val="center"/>
          </w:tcPr>
          <w:p w14:paraId="5BAC6A35">
            <w:pPr>
              <w:topLinePunct/>
              <w:jc w:val="center"/>
              <w:rPr>
                <w:rFonts w:ascii="宋体" w:hAnsi="宋体" w:cs="宋体"/>
                <w:sz w:val="24"/>
              </w:rPr>
            </w:pPr>
            <w:r>
              <w:rPr>
                <w:rFonts w:hint="eastAsia" w:cs="宋体" w:asciiTheme="minorEastAsia" w:hAnsiTheme="minorEastAsia"/>
                <w:sz w:val="24"/>
                <w:szCs w:val="24"/>
              </w:rPr>
              <w:t>文秘类句型</w:t>
            </w:r>
          </w:p>
        </w:tc>
        <w:tc>
          <w:tcPr>
            <w:tcW w:w="4653" w:type="dxa"/>
            <w:vAlign w:val="center"/>
          </w:tcPr>
          <w:p w14:paraId="2765BA3C">
            <w:pPr>
              <w:tabs>
                <w:tab w:val="left" w:pos="312"/>
              </w:tabs>
              <w:topLinePunc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1.掌握至少</w:t>
            </w:r>
            <w:r>
              <w:rPr>
                <w:rFonts w:cs="宋体" w:asciiTheme="minorEastAsia" w:hAnsiTheme="minorEastAsia"/>
                <w:sz w:val="24"/>
                <w:szCs w:val="24"/>
              </w:rPr>
              <w:t>30</w:t>
            </w:r>
            <w:r>
              <w:rPr>
                <w:rFonts w:hint="eastAsia" w:cs="宋体" w:asciiTheme="minorEastAsia" w:hAnsiTheme="minorEastAsia"/>
                <w:sz w:val="24"/>
                <w:szCs w:val="24"/>
              </w:rPr>
              <w:t>个与文秘行政相关的基础句型；</w:t>
            </w:r>
          </w:p>
          <w:p w14:paraId="4F3977AE">
            <w:pPr>
              <w:tabs>
                <w:tab w:val="left" w:pos="312"/>
              </w:tabs>
              <w:topLinePunct/>
              <w:ind w:left="240" w:hanging="240" w:hangingChars="100"/>
              <w:contextualSpacing/>
              <w:jc w:val="both"/>
              <w:rPr>
                <w:rFonts w:cs="宋体" w:asciiTheme="minorEastAsia" w:hAnsiTheme="minorEastAsia"/>
                <w:sz w:val="24"/>
                <w:szCs w:val="24"/>
              </w:rPr>
            </w:pPr>
            <w:r>
              <w:rPr>
                <w:rFonts w:hint="eastAsia" w:ascii="宋体" w:hAnsi="宋体" w:eastAsia="宋体" w:cs="宋体"/>
                <w:sz w:val="24"/>
              </w:rPr>
              <w:t>2.掌握与电话交流相关的句型，能在实际通话中运用相关交谈方法和技巧；</w:t>
            </w:r>
          </w:p>
          <w:p w14:paraId="251904AE">
            <w:pPr>
              <w:tabs>
                <w:tab w:val="left" w:pos="312"/>
              </w:tabs>
              <w:topLinePunc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3.能运用基础句型围绕文秘日常工作流利造句，如会议组织、商务接待、日程计划、文件处理等</w:t>
            </w:r>
          </w:p>
        </w:tc>
        <w:tc>
          <w:tcPr>
            <w:tcW w:w="709" w:type="dxa"/>
            <w:vMerge w:val="continue"/>
            <w:vAlign w:val="center"/>
          </w:tcPr>
          <w:p w14:paraId="56A4A937">
            <w:pPr>
              <w:topLinePunct/>
              <w:ind w:firstLine="480" w:firstLineChars="200"/>
              <w:jc w:val="center"/>
              <w:rPr>
                <w:rFonts w:ascii="宋体" w:hAnsi="宋体" w:eastAsia="宋体" w:cs="宋体"/>
                <w:sz w:val="24"/>
              </w:rPr>
            </w:pPr>
          </w:p>
        </w:tc>
      </w:tr>
      <w:tr w14:paraId="28024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1296" w:type="dxa"/>
            <w:vMerge w:val="continue"/>
            <w:vAlign w:val="center"/>
          </w:tcPr>
          <w:p w14:paraId="300B0409">
            <w:pPr>
              <w:topLinePunct/>
              <w:jc w:val="center"/>
              <w:rPr>
                <w:rFonts w:ascii="宋体" w:hAnsi="宋体" w:eastAsia="宋体" w:cs="宋体"/>
                <w:sz w:val="24"/>
              </w:rPr>
            </w:pPr>
          </w:p>
        </w:tc>
        <w:tc>
          <w:tcPr>
            <w:tcW w:w="1701" w:type="dxa"/>
            <w:vAlign w:val="center"/>
          </w:tcPr>
          <w:p w14:paraId="43D56B80">
            <w:pPr>
              <w:topLinePunct/>
              <w:jc w:val="center"/>
              <w:rPr>
                <w:rFonts w:ascii="宋体" w:hAnsi="宋体" w:cs="宋体"/>
                <w:sz w:val="24"/>
              </w:rPr>
            </w:pPr>
            <w:r>
              <w:rPr>
                <w:rFonts w:hint="eastAsia" w:cs="宋体" w:asciiTheme="minorEastAsia" w:hAnsiTheme="minorEastAsia"/>
                <w:sz w:val="24"/>
                <w:szCs w:val="24"/>
              </w:rPr>
              <w:t>营销类句型</w:t>
            </w:r>
          </w:p>
        </w:tc>
        <w:tc>
          <w:tcPr>
            <w:tcW w:w="4653" w:type="dxa"/>
            <w:vAlign w:val="center"/>
          </w:tcPr>
          <w:p w14:paraId="3964C7A9">
            <w:pPr>
              <w:tabs>
                <w:tab w:val="left" w:pos="312"/>
              </w:tabs>
              <w:topLinePunc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1.掌握至少</w:t>
            </w:r>
            <w:r>
              <w:rPr>
                <w:rFonts w:cs="宋体" w:asciiTheme="minorEastAsia" w:hAnsiTheme="minorEastAsia"/>
                <w:sz w:val="24"/>
                <w:szCs w:val="24"/>
              </w:rPr>
              <w:t>30</w:t>
            </w:r>
            <w:r>
              <w:rPr>
                <w:rFonts w:hint="eastAsia" w:cs="宋体" w:asciiTheme="minorEastAsia" w:hAnsiTheme="minorEastAsia"/>
                <w:sz w:val="24"/>
                <w:szCs w:val="24"/>
              </w:rPr>
              <w:t>个与询价报价相关的基础句型；</w:t>
            </w:r>
          </w:p>
          <w:p w14:paraId="6711A954">
            <w:pPr>
              <w:tabs>
                <w:tab w:val="left" w:pos="312"/>
              </w:tabs>
              <w:topLinePunct/>
              <w:ind w:left="240" w:hanging="240" w:hangingChars="100"/>
              <w:contextualSpacing/>
              <w:jc w:val="both"/>
              <w:rPr>
                <w:rFonts w:cs="宋体" w:asciiTheme="minorEastAsia" w:hAnsiTheme="minorEastAsia"/>
                <w:sz w:val="24"/>
                <w:szCs w:val="24"/>
              </w:rPr>
            </w:pPr>
            <w:r>
              <w:rPr>
                <w:rFonts w:hint="eastAsia" w:ascii="宋体" w:hAnsi="宋体" w:cs="宋体"/>
                <w:kern w:val="0"/>
                <w:sz w:val="24"/>
              </w:rPr>
              <w:t>2.熟悉广告词的编写方法，能分析和创作简单的广告词；</w:t>
            </w:r>
          </w:p>
          <w:p w14:paraId="0CDCBA4A">
            <w:pPr>
              <w:topLinePunc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3.了解产品介绍句型，能运用基础句型进行产品的询价、报价</w:t>
            </w:r>
          </w:p>
        </w:tc>
        <w:tc>
          <w:tcPr>
            <w:tcW w:w="709" w:type="dxa"/>
            <w:vMerge w:val="continue"/>
            <w:vAlign w:val="center"/>
          </w:tcPr>
          <w:p w14:paraId="6F4E19C1">
            <w:pPr>
              <w:topLinePunct/>
              <w:jc w:val="center"/>
              <w:rPr>
                <w:rFonts w:ascii="宋体" w:hAnsi="宋体" w:eastAsia="宋体" w:cs="宋体"/>
                <w:sz w:val="24"/>
              </w:rPr>
            </w:pPr>
          </w:p>
        </w:tc>
      </w:tr>
      <w:tr w14:paraId="66B0F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restart"/>
            <w:vAlign w:val="center"/>
          </w:tcPr>
          <w:p w14:paraId="1828B3F8">
            <w:pPr>
              <w:topLinePunct/>
              <w:jc w:val="center"/>
              <w:rPr>
                <w:rFonts w:ascii="宋体" w:hAnsi="宋体" w:eastAsia="宋体" w:cs="宋体"/>
                <w:sz w:val="24"/>
              </w:rPr>
            </w:pPr>
            <w:r>
              <w:rPr>
                <w:rFonts w:hint="eastAsia" w:cs="仿宋" w:asciiTheme="minorEastAsia" w:hAnsiTheme="minorEastAsia"/>
                <w:kern w:val="0"/>
                <w:sz w:val="24"/>
                <w:szCs w:val="24"/>
              </w:rPr>
              <w:t>商务视听训练</w:t>
            </w:r>
          </w:p>
        </w:tc>
        <w:tc>
          <w:tcPr>
            <w:tcW w:w="1701" w:type="dxa"/>
            <w:vAlign w:val="center"/>
          </w:tcPr>
          <w:p w14:paraId="7CC41A6F">
            <w:pPr>
              <w:topLinePunct/>
              <w:jc w:val="center"/>
              <w:rPr>
                <w:rFonts w:ascii="宋体" w:hAnsi="宋体" w:cs="宋体"/>
                <w:sz w:val="24"/>
              </w:rPr>
            </w:pPr>
            <w:r>
              <w:rPr>
                <w:rFonts w:hint="eastAsia" w:cs="宋体" w:asciiTheme="minorEastAsia" w:hAnsiTheme="minorEastAsia"/>
                <w:sz w:val="24"/>
                <w:szCs w:val="24"/>
              </w:rPr>
              <w:t>文秘类视听</w:t>
            </w:r>
          </w:p>
        </w:tc>
        <w:tc>
          <w:tcPr>
            <w:tcW w:w="4653" w:type="dxa"/>
            <w:vAlign w:val="center"/>
          </w:tcPr>
          <w:p w14:paraId="21A3B63F">
            <w:pPr>
              <w:topLinePunc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1</w:t>
            </w:r>
            <w:r>
              <w:rPr>
                <w:rFonts w:cs="宋体" w:asciiTheme="minorEastAsia" w:hAnsiTheme="minorEastAsia"/>
                <w:sz w:val="24"/>
                <w:szCs w:val="24"/>
              </w:rPr>
              <w:t>.</w:t>
            </w:r>
            <w:r>
              <w:rPr>
                <w:rFonts w:hint="eastAsia" w:cs="宋体" w:asciiTheme="minorEastAsia" w:hAnsiTheme="minorEastAsia"/>
                <w:sz w:val="24"/>
                <w:szCs w:val="24"/>
              </w:rPr>
              <w:t>理解与文秘工作情境相关的韩语视频和音频，能分析、理解视频和音频中的词汇句型并模仿造句、对话；</w:t>
            </w:r>
          </w:p>
          <w:p w14:paraId="33B061CE">
            <w:pPr>
              <w:topLinePunct/>
              <w:ind w:left="240" w:hanging="240" w:hangingChars="100"/>
              <w:contextualSpacing/>
              <w:jc w:val="both"/>
              <w:rPr>
                <w:rFonts w:ascii="宋体" w:hAnsi="宋体" w:eastAsia="宋体" w:cs="宋体"/>
                <w:sz w:val="24"/>
              </w:rPr>
            </w:pPr>
            <w:r>
              <w:rPr>
                <w:rFonts w:hint="eastAsia" w:cs="宋体" w:asciiTheme="minorEastAsia" w:hAnsiTheme="minorEastAsia"/>
                <w:sz w:val="24"/>
                <w:szCs w:val="24"/>
              </w:rPr>
              <w:t>2.</w:t>
            </w:r>
            <w:r>
              <w:rPr>
                <w:rFonts w:hint="eastAsia" w:ascii="宋体" w:hAnsi="宋体" w:eastAsia="宋体" w:cs="宋体"/>
                <w:sz w:val="24"/>
              </w:rPr>
              <w:t>了解韩国新闻收集途径</w:t>
            </w:r>
            <w:r>
              <w:rPr>
                <w:rFonts w:ascii="宋体" w:hAnsi="宋体" w:eastAsia="宋体" w:cs="宋体"/>
                <w:sz w:val="24"/>
              </w:rPr>
              <w:t>，能</w:t>
            </w:r>
            <w:r>
              <w:rPr>
                <w:rFonts w:hint="eastAsia" w:ascii="宋体" w:hAnsi="宋体" w:eastAsia="宋体" w:cs="宋体"/>
                <w:sz w:val="24"/>
              </w:rPr>
              <w:t>清楚、连贯、准确地传达基本信息</w:t>
            </w:r>
            <w:r>
              <w:rPr>
                <w:rFonts w:ascii="宋体" w:hAnsi="宋体" w:eastAsia="宋体" w:cs="宋体"/>
                <w:sz w:val="24"/>
              </w:rPr>
              <w:t>；</w:t>
            </w:r>
          </w:p>
          <w:p w14:paraId="3783B9F9">
            <w:pPr>
              <w:topLinePunct/>
              <w:ind w:left="240" w:hanging="240" w:hangingChars="100"/>
              <w:contextualSpacing/>
              <w:jc w:val="both"/>
              <w:rPr>
                <w:rFonts w:cs="宋体" w:asciiTheme="minorEastAsia" w:hAnsiTheme="minorEastAsia"/>
                <w:sz w:val="24"/>
                <w:szCs w:val="24"/>
              </w:rPr>
            </w:pPr>
            <w:r>
              <w:rPr>
                <w:rFonts w:hint="eastAsia" w:ascii="宋体" w:hAnsi="宋体" w:eastAsia="宋体" w:cs="宋体"/>
                <w:sz w:val="24"/>
              </w:rPr>
              <w:t>3.</w:t>
            </w:r>
            <w:r>
              <w:rPr>
                <w:rFonts w:ascii="宋体" w:hAnsi="宋体" w:eastAsia="宋体" w:cs="宋体"/>
                <w:sz w:val="24"/>
              </w:rPr>
              <w:t>能</w:t>
            </w:r>
            <w:r>
              <w:rPr>
                <w:rFonts w:hint="eastAsia" w:ascii="宋体" w:hAnsi="宋体" w:eastAsia="宋体" w:cs="宋体"/>
                <w:sz w:val="24"/>
              </w:rPr>
              <w:t>正确解读新闻内容并进行内容总结和相关事件的评说</w:t>
            </w:r>
          </w:p>
        </w:tc>
        <w:tc>
          <w:tcPr>
            <w:tcW w:w="709" w:type="dxa"/>
            <w:vMerge w:val="restart"/>
            <w:vAlign w:val="center"/>
          </w:tcPr>
          <w:p w14:paraId="5BC8ED7D">
            <w:pPr>
              <w:topLinePunct/>
              <w:jc w:val="center"/>
              <w:rPr>
                <w:rFonts w:ascii="宋体" w:hAnsi="宋体" w:eastAsia="宋体" w:cs="宋体"/>
                <w:sz w:val="24"/>
              </w:rPr>
            </w:pPr>
            <w:r>
              <w:rPr>
                <w:rFonts w:hint="eastAsia" w:ascii="宋体" w:hAnsi="宋体" w:eastAsia="宋体" w:cs="宋体"/>
                <w:sz w:val="24"/>
              </w:rPr>
              <w:t>16</w:t>
            </w:r>
          </w:p>
        </w:tc>
      </w:tr>
      <w:tr w14:paraId="2A549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6" w:type="dxa"/>
            <w:vMerge w:val="continue"/>
            <w:vAlign w:val="center"/>
          </w:tcPr>
          <w:p w14:paraId="07907E12">
            <w:pPr>
              <w:topLinePunct/>
              <w:jc w:val="center"/>
              <w:rPr>
                <w:rFonts w:ascii="宋体" w:hAnsi="宋体" w:eastAsia="宋体" w:cs="宋体"/>
                <w:sz w:val="24"/>
              </w:rPr>
            </w:pPr>
          </w:p>
        </w:tc>
        <w:tc>
          <w:tcPr>
            <w:tcW w:w="1701" w:type="dxa"/>
            <w:vAlign w:val="center"/>
          </w:tcPr>
          <w:p w14:paraId="203A23AA">
            <w:pPr>
              <w:topLinePunct/>
              <w:jc w:val="center"/>
              <w:rPr>
                <w:rFonts w:ascii="宋体" w:hAnsi="宋体" w:cs="宋体"/>
                <w:sz w:val="24"/>
              </w:rPr>
            </w:pPr>
            <w:r>
              <w:rPr>
                <w:rFonts w:hint="eastAsia" w:cs="宋体" w:asciiTheme="minorEastAsia" w:hAnsiTheme="minorEastAsia"/>
                <w:sz w:val="24"/>
                <w:szCs w:val="24"/>
              </w:rPr>
              <w:t>营销类视听</w:t>
            </w:r>
          </w:p>
        </w:tc>
        <w:tc>
          <w:tcPr>
            <w:tcW w:w="4653" w:type="dxa"/>
            <w:vAlign w:val="center"/>
          </w:tcPr>
          <w:p w14:paraId="1A757D30">
            <w:pPr>
              <w:topLinePunc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1</w:t>
            </w:r>
            <w:r>
              <w:rPr>
                <w:rFonts w:cs="宋体" w:asciiTheme="minorEastAsia" w:hAnsiTheme="minorEastAsia"/>
                <w:sz w:val="24"/>
                <w:szCs w:val="24"/>
              </w:rPr>
              <w:t>.</w:t>
            </w:r>
            <w:r>
              <w:rPr>
                <w:rFonts w:hint="eastAsia" w:cs="宋体" w:asciiTheme="minorEastAsia" w:hAnsiTheme="minorEastAsia"/>
                <w:sz w:val="24"/>
                <w:szCs w:val="24"/>
              </w:rPr>
              <w:t>理解与商贸营销相关的韩语视频和音频，能分析、理解视频和音频中的词汇句型并模仿造句，对话；</w:t>
            </w:r>
          </w:p>
          <w:p w14:paraId="3591A226">
            <w:pPr>
              <w:topLinePunct/>
              <w:ind w:left="240" w:hanging="240" w:hangingChars="100"/>
              <w:contextualSpacing/>
              <w:jc w:val="both"/>
              <w:rPr>
                <w:rFonts w:ascii="宋体" w:hAnsi="宋体" w:cs="宋体"/>
                <w:kern w:val="0"/>
                <w:sz w:val="24"/>
              </w:rPr>
            </w:pPr>
            <w:r>
              <w:rPr>
                <w:rFonts w:hint="eastAsia" w:cs="宋体" w:asciiTheme="minorEastAsia" w:hAnsiTheme="minorEastAsia"/>
                <w:sz w:val="24"/>
                <w:szCs w:val="24"/>
              </w:rPr>
              <w:t>2.</w:t>
            </w:r>
            <w:r>
              <w:rPr>
                <w:rFonts w:hint="eastAsia" w:ascii="宋体" w:hAnsi="宋体" w:cs="宋体"/>
                <w:kern w:val="0"/>
                <w:sz w:val="24"/>
              </w:rPr>
              <w:t>了解相关广告用语，能准确地感知广告内容并说出对应广告用语；</w:t>
            </w:r>
          </w:p>
          <w:p w14:paraId="3B361A93">
            <w:pPr>
              <w:topLinePunct/>
              <w:ind w:left="240" w:hanging="240" w:hangingChars="100"/>
              <w:contextualSpacing/>
              <w:jc w:val="both"/>
              <w:rPr>
                <w:rFonts w:cs="宋体" w:asciiTheme="minorEastAsia" w:hAnsiTheme="minorEastAsia"/>
                <w:sz w:val="24"/>
                <w:szCs w:val="24"/>
              </w:rPr>
            </w:pPr>
            <w:r>
              <w:rPr>
                <w:rFonts w:hint="eastAsia" w:ascii="宋体" w:hAnsi="宋体" w:cs="宋体"/>
                <w:kern w:val="0"/>
                <w:sz w:val="24"/>
              </w:rPr>
              <w:t>3.了解广告词的编写方法，能分析和创作简单的广告词</w:t>
            </w:r>
          </w:p>
        </w:tc>
        <w:tc>
          <w:tcPr>
            <w:tcW w:w="709" w:type="dxa"/>
            <w:vMerge w:val="continue"/>
            <w:vAlign w:val="center"/>
          </w:tcPr>
          <w:p w14:paraId="2A2DB99B">
            <w:pPr>
              <w:topLinePunct/>
              <w:jc w:val="center"/>
              <w:rPr>
                <w:rFonts w:ascii="宋体" w:hAnsi="宋体" w:eastAsia="宋体" w:cs="宋体"/>
                <w:sz w:val="24"/>
              </w:rPr>
            </w:pPr>
          </w:p>
        </w:tc>
      </w:tr>
      <w:tr w14:paraId="4F2A8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5" w:hRule="atLeast"/>
          <w:jc w:val="center"/>
        </w:trPr>
        <w:tc>
          <w:tcPr>
            <w:tcW w:w="1296" w:type="dxa"/>
            <w:vMerge w:val="restart"/>
            <w:vAlign w:val="center"/>
          </w:tcPr>
          <w:p w14:paraId="7F4CE8B6">
            <w:pPr>
              <w:topLinePunct/>
              <w:jc w:val="center"/>
              <w:rPr>
                <w:rFonts w:cs="宋体" w:asciiTheme="minorEastAsia" w:hAnsiTheme="minorEastAsia"/>
                <w:sz w:val="24"/>
                <w:szCs w:val="24"/>
              </w:rPr>
            </w:pPr>
            <w:r>
              <w:rPr>
                <w:rFonts w:hint="eastAsia" w:cs="仿宋" w:asciiTheme="minorEastAsia" w:hAnsiTheme="minorEastAsia"/>
                <w:kern w:val="0"/>
                <w:sz w:val="24"/>
                <w:szCs w:val="24"/>
              </w:rPr>
              <w:t>商务会话训练</w:t>
            </w:r>
          </w:p>
        </w:tc>
        <w:tc>
          <w:tcPr>
            <w:tcW w:w="1701" w:type="dxa"/>
            <w:vAlign w:val="center"/>
          </w:tcPr>
          <w:p w14:paraId="0F255B83">
            <w:pPr>
              <w:topLinePunct/>
              <w:jc w:val="center"/>
              <w:rPr>
                <w:rFonts w:cs="宋体" w:asciiTheme="minorEastAsia" w:hAnsiTheme="minorEastAsia"/>
                <w:sz w:val="24"/>
                <w:szCs w:val="24"/>
              </w:rPr>
            </w:pPr>
            <w:r>
              <w:rPr>
                <w:rFonts w:hint="eastAsia" w:cs="宋体" w:asciiTheme="minorEastAsia" w:hAnsiTheme="minorEastAsia"/>
                <w:sz w:val="24"/>
                <w:szCs w:val="24"/>
              </w:rPr>
              <w:t>文秘类会话</w:t>
            </w:r>
          </w:p>
        </w:tc>
        <w:tc>
          <w:tcPr>
            <w:tcW w:w="4653" w:type="dxa"/>
            <w:vAlign w:val="center"/>
          </w:tcPr>
          <w:p w14:paraId="23851690">
            <w:pPr>
              <w:topLinePunct/>
              <w:ind w:left="240" w:hanging="240" w:hangingChars="100"/>
              <w:contextualSpacing/>
              <w:jc w:val="both"/>
              <w:rPr>
                <w:rFonts w:cs="宋体" w:asciiTheme="minorEastAsia" w:hAnsiTheme="minorEastAsia"/>
                <w:sz w:val="24"/>
                <w:szCs w:val="24"/>
              </w:rPr>
            </w:pPr>
            <w:r>
              <w:rPr>
                <w:rFonts w:hint="eastAsia" w:cs="宋体" w:asciiTheme="minorEastAsia" w:hAnsiTheme="minorEastAsia"/>
                <w:sz w:val="24"/>
                <w:szCs w:val="24"/>
              </w:rPr>
              <w:t>1.熟悉文秘日常工作场景下（如会议组织、商务接待、日程计划、文件处理、办公用品采购等）的基本会话套路和自我表达；</w:t>
            </w:r>
            <w:r>
              <w:rPr>
                <w:rFonts w:cs="宋体" w:asciiTheme="minorEastAsia" w:hAnsiTheme="minorEastAsia"/>
                <w:sz w:val="24"/>
                <w:szCs w:val="24"/>
              </w:rPr>
              <w:t xml:space="preserve"> </w:t>
            </w:r>
          </w:p>
          <w:p w14:paraId="2FCB39F2">
            <w:pPr>
              <w:topLinePunct/>
              <w:ind w:left="240" w:hanging="240" w:hangingChars="100"/>
              <w:contextualSpacing/>
              <w:jc w:val="both"/>
              <w:rPr>
                <w:rFonts w:cs="宋体" w:asciiTheme="minorEastAsia" w:hAnsiTheme="minorEastAsia"/>
                <w:sz w:val="24"/>
                <w:szCs w:val="24"/>
              </w:rPr>
            </w:pPr>
            <w:r>
              <w:rPr>
                <w:rFonts w:cs="宋体" w:asciiTheme="minorEastAsia" w:hAnsiTheme="minorEastAsia"/>
                <w:sz w:val="24"/>
                <w:szCs w:val="24"/>
              </w:rPr>
              <w:t>2</w:t>
            </w:r>
            <w:r>
              <w:rPr>
                <w:rFonts w:hint="eastAsia" w:cs="宋体" w:asciiTheme="minorEastAsia" w:hAnsiTheme="minorEastAsia"/>
                <w:sz w:val="24"/>
                <w:szCs w:val="24"/>
              </w:rPr>
              <w:t>.能用韩语在各工作情境开展角色扮演、对话练习、口语训练等；</w:t>
            </w:r>
          </w:p>
          <w:p w14:paraId="48FEFE19">
            <w:pPr>
              <w:topLinePunct/>
              <w:ind w:left="240" w:hanging="240" w:hangingChars="100"/>
              <w:contextualSpacing/>
              <w:jc w:val="both"/>
              <w:rPr>
                <w:rFonts w:cs="宋体" w:asciiTheme="minorEastAsia" w:hAnsiTheme="minorEastAsia"/>
                <w:sz w:val="24"/>
                <w:szCs w:val="24"/>
              </w:rPr>
            </w:pPr>
            <w:r>
              <w:rPr>
                <w:rFonts w:cs="宋体" w:asciiTheme="minorEastAsia" w:hAnsiTheme="minorEastAsia"/>
                <w:sz w:val="24"/>
                <w:szCs w:val="24"/>
              </w:rPr>
              <w:t>3</w:t>
            </w:r>
            <w:r>
              <w:rPr>
                <w:rFonts w:hint="eastAsia" w:cs="宋体" w:asciiTheme="minorEastAsia" w:hAnsiTheme="minorEastAsia"/>
                <w:sz w:val="24"/>
                <w:szCs w:val="24"/>
              </w:rPr>
              <w:t>.能正确地表达自我意图，并能准确地传递商务信息</w:t>
            </w:r>
          </w:p>
        </w:tc>
        <w:tc>
          <w:tcPr>
            <w:tcW w:w="709" w:type="dxa"/>
            <w:vMerge w:val="restart"/>
            <w:vAlign w:val="center"/>
          </w:tcPr>
          <w:p w14:paraId="209E7CC0">
            <w:pPr>
              <w:topLinePunct/>
              <w:jc w:val="center"/>
              <w:rPr>
                <w:rFonts w:ascii="宋体" w:hAnsi="宋体" w:eastAsia="宋体" w:cs="宋体"/>
                <w:sz w:val="24"/>
              </w:rPr>
            </w:pPr>
            <w:r>
              <w:rPr>
                <w:rFonts w:hint="eastAsia" w:ascii="宋体" w:hAnsi="宋体" w:eastAsia="宋体" w:cs="宋体"/>
                <w:sz w:val="24"/>
              </w:rPr>
              <w:t>16</w:t>
            </w:r>
          </w:p>
        </w:tc>
      </w:tr>
      <w:tr w14:paraId="2C880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296" w:type="dxa"/>
            <w:vMerge w:val="continue"/>
            <w:vAlign w:val="center"/>
          </w:tcPr>
          <w:p w14:paraId="5D34BA69">
            <w:pPr>
              <w:topLinePunct/>
              <w:jc w:val="center"/>
              <w:rPr>
                <w:rFonts w:ascii="宋体" w:hAnsi="宋体" w:eastAsia="宋体" w:cs="宋体"/>
                <w:sz w:val="24"/>
              </w:rPr>
            </w:pPr>
          </w:p>
        </w:tc>
        <w:tc>
          <w:tcPr>
            <w:tcW w:w="1701" w:type="dxa"/>
            <w:vAlign w:val="center"/>
          </w:tcPr>
          <w:p w14:paraId="3720267D">
            <w:pPr>
              <w:topLinePunct/>
              <w:jc w:val="center"/>
              <w:rPr>
                <w:rFonts w:cs="宋体" w:asciiTheme="minorEastAsia" w:hAnsiTheme="minorEastAsia"/>
                <w:sz w:val="24"/>
                <w:szCs w:val="24"/>
              </w:rPr>
            </w:pPr>
            <w:r>
              <w:rPr>
                <w:rFonts w:hint="eastAsia" w:cs="宋体" w:asciiTheme="minorEastAsia" w:hAnsiTheme="minorEastAsia"/>
                <w:sz w:val="24"/>
                <w:szCs w:val="24"/>
              </w:rPr>
              <w:t>营销类会话</w:t>
            </w:r>
          </w:p>
        </w:tc>
        <w:tc>
          <w:tcPr>
            <w:tcW w:w="4653" w:type="dxa"/>
            <w:vAlign w:val="center"/>
          </w:tcPr>
          <w:p w14:paraId="42B83827">
            <w:pPr>
              <w:topLinePunct/>
              <w:ind w:left="240" w:hanging="240" w:hangingChars="100"/>
              <w:contextualSpacing/>
              <w:jc w:val="both"/>
              <w:rPr>
                <w:rFonts w:ascii="宋体" w:hAnsi="宋体" w:eastAsia="宋体" w:cs="宋体"/>
                <w:sz w:val="24"/>
                <w:szCs w:val="24"/>
              </w:rPr>
            </w:pPr>
            <w:r>
              <w:rPr>
                <w:rFonts w:hint="eastAsia" w:cs="宋体" w:asciiTheme="minorEastAsia" w:hAnsiTheme="minorEastAsia"/>
                <w:sz w:val="24"/>
                <w:szCs w:val="24"/>
              </w:rPr>
              <w:t>1.</w:t>
            </w:r>
            <w:r>
              <w:rPr>
                <w:rFonts w:hint="eastAsia" w:ascii="宋体" w:hAnsi="宋体" w:eastAsia="宋体" w:cs="宋体"/>
                <w:sz w:val="24"/>
                <w:szCs w:val="24"/>
              </w:rPr>
              <w:t xml:space="preserve">熟悉外贸和营销相关工作场景下（如跨境运输、基础报关、询价、报价、展会策划、跨境电商等）的基本会话套路和自我表达； </w:t>
            </w:r>
          </w:p>
          <w:p w14:paraId="2F37E945">
            <w:pPr>
              <w:topLinePunct/>
              <w:ind w:left="240" w:hanging="240" w:hangingChars="100"/>
              <w:contextualSpacing/>
              <w:jc w:val="both"/>
              <w:rPr>
                <w:rFonts w:ascii="宋体" w:hAnsi="宋体" w:eastAsia="宋体" w:cs="宋体"/>
                <w:sz w:val="24"/>
                <w:szCs w:val="24"/>
              </w:rPr>
            </w:pPr>
            <w:r>
              <w:rPr>
                <w:rFonts w:hint="eastAsia" w:ascii="宋体" w:hAnsi="宋体" w:eastAsia="宋体" w:cs="宋体"/>
                <w:sz w:val="24"/>
                <w:szCs w:val="24"/>
              </w:rPr>
              <w:t>2.能用韩语在各工作情境中开展角色扮演、对话练习、口语训练等；</w:t>
            </w:r>
          </w:p>
          <w:p w14:paraId="47641D81">
            <w:pPr>
              <w:topLinePunct/>
              <w:ind w:left="240" w:hanging="240" w:hangingChars="100"/>
              <w:contextualSpacing/>
              <w:jc w:val="both"/>
              <w:rPr>
                <w:rFonts w:ascii="宋体" w:hAnsi="宋体" w:eastAsia="宋体" w:cs="宋体"/>
                <w:sz w:val="24"/>
                <w:szCs w:val="24"/>
              </w:rPr>
            </w:pPr>
            <w:r>
              <w:rPr>
                <w:rFonts w:hint="eastAsia" w:ascii="宋体" w:hAnsi="宋体" w:eastAsia="宋体" w:cs="宋体"/>
                <w:sz w:val="24"/>
                <w:szCs w:val="24"/>
              </w:rPr>
              <w:t>3.能正确地表达自我意图，并能准确地传递商务信息；</w:t>
            </w:r>
          </w:p>
          <w:p w14:paraId="6096D425">
            <w:pPr>
              <w:topLinePunct/>
              <w:ind w:left="240" w:hanging="240" w:hangingChars="100"/>
              <w:contextualSpacing/>
              <w:jc w:val="both"/>
              <w:rPr>
                <w:rFonts w:cs="宋体" w:asciiTheme="minorEastAsia" w:hAnsiTheme="minorEastAsia"/>
                <w:sz w:val="24"/>
                <w:szCs w:val="24"/>
              </w:rPr>
            </w:pPr>
            <w:r>
              <w:rPr>
                <w:rFonts w:hint="eastAsia" w:ascii="宋体" w:hAnsi="宋体" w:eastAsia="宋体" w:cs="宋体"/>
                <w:sz w:val="24"/>
                <w:szCs w:val="24"/>
              </w:rPr>
              <w:t>4.了解商务谈判的特征及基本句型，能进行简单的韩语商务辩论</w:t>
            </w:r>
          </w:p>
        </w:tc>
        <w:tc>
          <w:tcPr>
            <w:tcW w:w="709" w:type="dxa"/>
            <w:vMerge w:val="continue"/>
            <w:vAlign w:val="center"/>
          </w:tcPr>
          <w:p w14:paraId="541C8F98">
            <w:pPr>
              <w:topLinePunct/>
              <w:jc w:val="center"/>
              <w:rPr>
                <w:rFonts w:ascii="宋体" w:hAnsi="宋体" w:eastAsia="宋体" w:cs="宋体"/>
                <w:sz w:val="24"/>
              </w:rPr>
            </w:pPr>
          </w:p>
        </w:tc>
      </w:tr>
      <w:tr w14:paraId="7C6D9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9" w:hRule="atLeast"/>
          <w:jc w:val="center"/>
        </w:trPr>
        <w:tc>
          <w:tcPr>
            <w:tcW w:w="1296" w:type="dxa"/>
            <w:vMerge w:val="restart"/>
            <w:vAlign w:val="center"/>
          </w:tcPr>
          <w:p w14:paraId="119F0EFF">
            <w:pPr>
              <w:topLinePunct/>
              <w:jc w:val="center"/>
              <w:rPr>
                <w:rFonts w:ascii="宋体" w:hAnsi="宋体" w:eastAsia="宋体" w:cs="宋体"/>
                <w:sz w:val="24"/>
              </w:rPr>
            </w:pPr>
            <w:r>
              <w:rPr>
                <w:rFonts w:hint="eastAsia" w:ascii="宋体" w:hAnsi="宋体" w:eastAsia="宋体" w:cs="宋体"/>
                <w:sz w:val="24"/>
              </w:rPr>
              <w:t>商务主题综合训练</w:t>
            </w:r>
          </w:p>
        </w:tc>
        <w:tc>
          <w:tcPr>
            <w:tcW w:w="1701" w:type="dxa"/>
            <w:vAlign w:val="center"/>
          </w:tcPr>
          <w:p w14:paraId="4D1497AB">
            <w:pPr>
              <w:topLinePunct/>
              <w:jc w:val="center"/>
              <w:rPr>
                <w:rFonts w:ascii="宋体" w:hAnsi="宋体" w:eastAsia="宋体" w:cs="宋体"/>
                <w:sz w:val="24"/>
              </w:rPr>
            </w:pPr>
            <w:r>
              <w:rPr>
                <w:rFonts w:hint="eastAsia" w:ascii="宋体" w:hAnsi="宋体" w:eastAsia="宋体" w:cs="宋体"/>
                <w:sz w:val="24"/>
              </w:rPr>
              <w:t>生活场景</w:t>
            </w:r>
          </w:p>
          <w:p w14:paraId="290AC110">
            <w:pPr>
              <w:topLinePunct/>
              <w:jc w:val="center"/>
              <w:rPr>
                <w:rFonts w:ascii="宋体" w:hAnsi="宋体" w:eastAsia="宋体" w:cs="宋体"/>
                <w:sz w:val="24"/>
              </w:rPr>
            </w:pPr>
            <w:r>
              <w:rPr>
                <w:rFonts w:hint="eastAsia" w:ascii="宋体" w:hAnsi="宋体" w:eastAsia="宋体" w:cs="宋体"/>
                <w:sz w:val="24"/>
              </w:rPr>
              <w:t>综合训练</w:t>
            </w:r>
          </w:p>
        </w:tc>
        <w:tc>
          <w:tcPr>
            <w:tcW w:w="4653" w:type="dxa"/>
            <w:vAlign w:val="center"/>
          </w:tcPr>
          <w:p w14:paraId="172FF4F2">
            <w:pPr>
              <w:tabs>
                <w:tab w:val="left" w:pos="312"/>
              </w:tabs>
              <w:topLinePunct/>
              <w:ind w:left="240" w:hanging="240" w:hangingChars="100"/>
              <w:contextualSpacing/>
              <w:rPr>
                <w:rFonts w:ascii="宋体" w:hAnsi="宋体" w:eastAsia="宋体" w:cs="宋体"/>
                <w:sz w:val="24"/>
              </w:rPr>
            </w:pPr>
            <w:r>
              <w:rPr>
                <w:rFonts w:hint="eastAsia" w:ascii="宋体" w:hAnsi="宋体"/>
                <w:sz w:val="24"/>
              </w:rPr>
              <w:t>1.了解韩国的文化背景、风俗习惯，能分析中韩两国在思维、文化与商务习惯上的差异，具备跨文化意识；</w:t>
            </w:r>
          </w:p>
          <w:p w14:paraId="4AE09516">
            <w:pPr>
              <w:tabs>
                <w:tab w:val="left" w:pos="312"/>
              </w:tabs>
              <w:topLinePunct/>
              <w:ind w:left="240" w:hanging="240" w:hangingChars="100"/>
              <w:contextualSpacing/>
              <w:rPr>
                <w:rFonts w:ascii="宋体" w:hAnsi="宋体" w:eastAsia="宋体" w:cs="宋体"/>
                <w:sz w:val="24"/>
              </w:rPr>
            </w:pPr>
            <w:r>
              <w:rPr>
                <w:rFonts w:hint="eastAsia" w:ascii="宋体" w:hAnsi="宋体" w:eastAsia="宋体" w:cs="宋体"/>
                <w:sz w:val="24"/>
                <w:szCs w:val="24"/>
              </w:rPr>
              <w:t xml:space="preserve">2.掌握韩国日常生活中不同场景的基础对 </w:t>
            </w:r>
            <w:r>
              <w:rPr>
                <w:rFonts w:ascii="宋体" w:hAnsi="宋体" w:eastAsia="宋体" w:cs="宋体"/>
                <w:sz w:val="24"/>
                <w:szCs w:val="24"/>
              </w:rPr>
              <w:t xml:space="preserve">  </w:t>
            </w:r>
            <w:r>
              <w:rPr>
                <w:rFonts w:hint="eastAsia" w:ascii="宋体" w:hAnsi="宋体" w:eastAsia="宋体" w:cs="宋体"/>
                <w:sz w:val="24"/>
                <w:szCs w:val="24"/>
              </w:rPr>
              <w:t>话，能对日常场景中的不同生活需求进行简单表达</w:t>
            </w:r>
          </w:p>
        </w:tc>
        <w:tc>
          <w:tcPr>
            <w:tcW w:w="709" w:type="dxa"/>
            <w:vMerge w:val="restart"/>
            <w:vAlign w:val="center"/>
          </w:tcPr>
          <w:p w14:paraId="33A6AC78">
            <w:pPr>
              <w:topLinePunct/>
              <w:jc w:val="center"/>
              <w:rPr>
                <w:rFonts w:ascii="宋体" w:hAnsi="宋体" w:eastAsia="宋体" w:cs="宋体"/>
                <w:sz w:val="24"/>
              </w:rPr>
            </w:pPr>
            <w:r>
              <w:rPr>
                <w:rFonts w:hint="eastAsia" w:ascii="宋体" w:hAnsi="宋体" w:eastAsia="宋体" w:cs="宋体"/>
                <w:sz w:val="24"/>
              </w:rPr>
              <w:t>16</w:t>
            </w:r>
          </w:p>
        </w:tc>
      </w:tr>
      <w:tr w14:paraId="0D189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0" w:hRule="atLeast"/>
          <w:jc w:val="center"/>
        </w:trPr>
        <w:tc>
          <w:tcPr>
            <w:tcW w:w="1296" w:type="dxa"/>
            <w:vMerge w:val="continue"/>
            <w:vAlign w:val="center"/>
          </w:tcPr>
          <w:p w14:paraId="6F701987">
            <w:pPr>
              <w:topLinePunct/>
              <w:jc w:val="center"/>
              <w:rPr>
                <w:rFonts w:ascii="宋体" w:hAnsi="宋体" w:eastAsia="宋体" w:cs="宋体"/>
                <w:sz w:val="24"/>
              </w:rPr>
            </w:pPr>
          </w:p>
        </w:tc>
        <w:tc>
          <w:tcPr>
            <w:tcW w:w="1701" w:type="dxa"/>
            <w:vAlign w:val="center"/>
          </w:tcPr>
          <w:p w14:paraId="29D814AA">
            <w:pPr>
              <w:topLinePunct/>
              <w:jc w:val="center"/>
              <w:rPr>
                <w:rFonts w:ascii="宋体" w:hAnsi="宋体" w:eastAsia="宋体" w:cs="宋体"/>
                <w:sz w:val="24"/>
              </w:rPr>
            </w:pPr>
            <w:r>
              <w:rPr>
                <w:rFonts w:hint="eastAsia" w:ascii="宋体" w:hAnsi="宋体" w:eastAsia="宋体" w:cs="宋体"/>
                <w:sz w:val="24"/>
              </w:rPr>
              <w:t>商务交际</w:t>
            </w:r>
          </w:p>
          <w:p w14:paraId="7AED34F9">
            <w:pPr>
              <w:topLinePunct/>
              <w:jc w:val="center"/>
              <w:rPr>
                <w:rFonts w:ascii="宋体" w:hAnsi="宋体" w:eastAsia="宋体" w:cs="宋体"/>
                <w:sz w:val="24"/>
              </w:rPr>
            </w:pPr>
            <w:r>
              <w:rPr>
                <w:rFonts w:hint="eastAsia" w:ascii="宋体" w:hAnsi="宋体" w:eastAsia="宋体" w:cs="宋体"/>
                <w:sz w:val="24"/>
              </w:rPr>
              <w:t>综合训练</w:t>
            </w:r>
          </w:p>
        </w:tc>
        <w:tc>
          <w:tcPr>
            <w:tcW w:w="4653" w:type="dxa"/>
            <w:vAlign w:val="center"/>
          </w:tcPr>
          <w:p w14:paraId="4366E64D">
            <w:pPr>
              <w:tabs>
                <w:tab w:val="left" w:pos="312"/>
              </w:tabs>
              <w:topLinePunct/>
              <w:ind w:left="240" w:hanging="240" w:hangingChars="100"/>
              <w:contextualSpacing/>
              <w:jc w:val="both"/>
              <w:rPr>
                <w:rFonts w:ascii="宋体" w:hAnsi="宋体"/>
                <w:sz w:val="24"/>
              </w:rPr>
            </w:pPr>
            <w:r>
              <w:rPr>
                <w:rFonts w:hint="eastAsia" w:ascii="宋体" w:hAnsi="宋体" w:eastAsia="宋体" w:cs="宋体"/>
                <w:sz w:val="24"/>
                <w:szCs w:val="24"/>
              </w:rPr>
              <w:t xml:space="preserve">1.了解当代韩国以及韩资企业的文化内 </w:t>
            </w:r>
            <w:r>
              <w:rPr>
                <w:rFonts w:ascii="宋体" w:hAnsi="宋体" w:eastAsia="宋体" w:cs="宋体"/>
                <w:sz w:val="24"/>
                <w:szCs w:val="24"/>
              </w:rPr>
              <w:t xml:space="preserve">  </w:t>
            </w:r>
            <w:r>
              <w:rPr>
                <w:rFonts w:hint="eastAsia" w:ascii="宋体" w:hAnsi="宋体" w:eastAsia="宋体" w:cs="宋体"/>
                <w:sz w:val="24"/>
                <w:szCs w:val="24"/>
              </w:rPr>
              <w:t>涵，</w:t>
            </w:r>
            <w:r>
              <w:rPr>
                <w:rFonts w:hint="eastAsia" w:ascii="宋体" w:hAnsi="宋体"/>
                <w:sz w:val="24"/>
              </w:rPr>
              <w:t>具有一定的外事礼仪、商务礼仪常识和中韩跨文化交际意识；</w:t>
            </w:r>
          </w:p>
          <w:p w14:paraId="7EA4E50C">
            <w:pPr>
              <w:tabs>
                <w:tab w:val="left" w:pos="312"/>
              </w:tabs>
              <w:topLinePunct/>
              <w:ind w:left="240" w:hanging="240" w:hangingChars="100"/>
              <w:contextualSpacing/>
              <w:jc w:val="both"/>
              <w:rPr>
                <w:rFonts w:ascii="宋体" w:hAnsi="宋体"/>
                <w:sz w:val="24"/>
              </w:rPr>
            </w:pPr>
            <w:r>
              <w:rPr>
                <w:rFonts w:hint="eastAsia" w:ascii="宋体" w:hAnsi="宋体" w:eastAsia="宋体" w:cs="宋体"/>
                <w:sz w:val="24"/>
                <w:szCs w:val="24"/>
              </w:rPr>
              <w:t xml:space="preserve">2.了解韩国不同商务领域中常使用的专业 </w:t>
            </w:r>
            <w:r>
              <w:rPr>
                <w:rFonts w:ascii="宋体" w:hAnsi="宋体" w:eastAsia="宋体" w:cs="宋体"/>
                <w:sz w:val="24"/>
                <w:szCs w:val="24"/>
              </w:rPr>
              <w:t xml:space="preserve">  </w:t>
            </w:r>
            <w:r>
              <w:rPr>
                <w:rFonts w:hint="eastAsia" w:ascii="宋体" w:hAnsi="宋体" w:eastAsia="宋体" w:cs="宋体"/>
                <w:sz w:val="24"/>
                <w:szCs w:val="24"/>
              </w:rPr>
              <w:t xml:space="preserve"> </w:t>
            </w:r>
            <w:r>
              <w:rPr>
                <w:rFonts w:ascii="宋体" w:hAnsi="宋体" w:eastAsia="宋体" w:cs="宋体"/>
                <w:sz w:val="24"/>
                <w:szCs w:val="24"/>
              </w:rPr>
              <w:t xml:space="preserve">  </w:t>
            </w:r>
            <w:r>
              <w:rPr>
                <w:rFonts w:hint="eastAsia" w:ascii="宋体" w:hAnsi="宋体" w:eastAsia="宋体" w:cs="宋体"/>
                <w:sz w:val="24"/>
                <w:szCs w:val="24"/>
              </w:rPr>
              <w:t>术语，能灵活熟练地用韩语进行商务交流和日常工作口译；</w:t>
            </w:r>
          </w:p>
          <w:p w14:paraId="1B7E413E">
            <w:pPr>
              <w:tabs>
                <w:tab w:val="left" w:pos="312"/>
              </w:tabs>
              <w:topLinePunct/>
              <w:ind w:left="240" w:hanging="240" w:hangingChars="100"/>
              <w:contextualSpacing/>
              <w:jc w:val="both"/>
              <w:rPr>
                <w:rFonts w:ascii="宋体" w:hAnsi="宋体" w:eastAsia="宋体" w:cs="宋体"/>
                <w:sz w:val="24"/>
              </w:rPr>
            </w:pPr>
            <w:r>
              <w:rPr>
                <w:rFonts w:hint="eastAsia" w:ascii="宋体" w:hAnsi="宋体" w:eastAsia="宋体" w:cs="宋体"/>
                <w:sz w:val="24"/>
                <w:szCs w:val="24"/>
              </w:rPr>
              <w:t>3.熟悉日常工作场景的相关词汇，掌握基本的韩语会议及日常办公用语；</w:t>
            </w:r>
          </w:p>
          <w:p w14:paraId="4E136004">
            <w:pPr>
              <w:tabs>
                <w:tab w:val="left" w:pos="312"/>
              </w:tabs>
              <w:topLinePunct/>
              <w:ind w:left="240" w:hanging="240" w:hangingChars="100"/>
              <w:contextualSpacing/>
              <w:jc w:val="both"/>
              <w:rPr>
                <w:rFonts w:ascii="宋体" w:hAnsi="宋体" w:eastAsia="宋体" w:cs="宋体"/>
                <w:sz w:val="24"/>
              </w:rPr>
            </w:pPr>
            <w:r>
              <w:rPr>
                <w:rFonts w:hint="eastAsia" w:ascii="宋体" w:hAnsi="宋体"/>
                <w:sz w:val="24"/>
              </w:rPr>
              <w:t>4.了解我国和韩国政府、民间往来的有关政策、法律和法规，具备基础的法律常识</w:t>
            </w:r>
          </w:p>
        </w:tc>
        <w:tc>
          <w:tcPr>
            <w:tcW w:w="709" w:type="dxa"/>
            <w:vMerge w:val="continue"/>
            <w:vAlign w:val="center"/>
          </w:tcPr>
          <w:p w14:paraId="68817177">
            <w:pPr>
              <w:topLinePunct/>
              <w:ind w:firstLine="480" w:firstLineChars="200"/>
              <w:jc w:val="center"/>
              <w:rPr>
                <w:rFonts w:ascii="宋体" w:hAnsi="宋体" w:eastAsia="宋体" w:cs="宋体"/>
                <w:sz w:val="24"/>
              </w:rPr>
            </w:pPr>
          </w:p>
        </w:tc>
      </w:tr>
    </w:tbl>
    <w:p w14:paraId="2911B051">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六、实施建议</w:t>
      </w:r>
    </w:p>
    <w:p w14:paraId="4819D51B">
      <w:pPr>
        <w:topLinePunct/>
        <w:ind w:firstLine="482" w:firstLineChars="200"/>
        <w:jc w:val="both"/>
        <w:rPr>
          <w:rFonts w:ascii="宋体" w:hAnsi="宋体" w:eastAsia="宋体" w:cs="黑体"/>
          <w:b/>
          <w:sz w:val="24"/>
        </w:rPr>
      </w:pPr>
      <w:r>
        <w:rPr>
          <w:rFonts w:hint="eastAsia" w:ascii="宋体" w:hAnsi="宋体" w:eastAsia="宋体" w:cs="黑体"/>
          <w:b/>
          <w:sz w:val="24"/>
        </w:rPr>
        <w:t>（一）教学建议</w:t>
      </w:r>
    </w:p>
    <w:p w14:paraId="0D9CD1FB">
      <w:pPr>
        <w:topLinePunct/>
        <w:ind w:firstLine="480" w:firstLineChars="200"/>
        <w:jc w:val="both"/>
        <w:rPr>
          <w:rFonts w:ascii="宋体" w:hAnsi="宋体" w:eastAsia="宋体" w:cs="宋体"/>
          <w:sz w:val="24"/>
        </w:rPr>
      </w:pPr>
      <w:r>
        <w:rPr>
          <w:rFonts w:hint="eastAsia" w:ascii="宋体" w:hAnsi="宋体" w:eastAsia="宋体" w:cs="宋体"/>
          <w:sz w:val="24"/>
        </w:rPr>
        <w:t>1.落实立德树人，聚焦核心素养。在教学中教师必须坚持正确的育人理念，充分挖掘本课程“独立自强”“文化自信”等思政元素，将立德树人根本任务贯穿于课程实施全过程。深刻理解韩语听说核心素养的内涵、育人价值、表现形式和层次水平，将课程目标、教学内容、教学形式、教学方法和教学手段等聚焦于培养和发展学生的韩语听说基础课程核心素养上。</w:t>
      </w:r>
    </w:p>
    <w:p w14:paraId="100CF600">
      <w:pPr>
        <w:topLinePunct/>
        <w:ind w:firstLine="480" w:firstLineChars="200"/>
        <w:jc w:val="both"/>
        <w:rPr>
          <w:rFonts w:ascii="宋体" w:hAnsi="宋体" w:eastAsia="宋体" w:cs="宋体"/>
          <w:sz w:val="24"/>
        </w:rPr>
      </w:pPr>
      <w:r>
        <w:rPr>
          <w:rFonts w:hint="eastAsia" w:ascii="宋体" w:hAnsi="宋体" w:eastAsia="宋体" w:cs="宋体"/>
          <w:sz w:val="24"/>
        </w:rPr>
        <w:t>2.突出主体地位，改进教学方式。在教学中，要贯彻以学生为中心的教学理念，增强学生的自主学习能力。教师应根据课程特点和学生认知发展规律，通过商务对话解析、教师口语示范、学生角色扮演、默写比拼、师生口语互动等教学活动，激发学生的学习兴趣，培养学生的观察能力、表现能力、交流能力等，使学生形成一定的职业品质和职业素养。在进行韩语听说教学时，应突出知识点、技能点，明确难点，在学习过程中要做到循序渐进，通过演示、示范、启发、引导等方法，帮助学生理解并掌握各知识点。</w:t>
      </w:r>
    </w:p>
    <w:p w14:paraId="2492FC49">
      <w:pPr>
        <w:topLinePunct/>
        <w:ind w:firstLine="480" w:firstLineChars="200"/>
        <w:jc w:val="both"/>
        <w:rPr>
          <w:rFonts w:ascii="宋体" w:hAnsi="宋体" w:eastAsia="宋体" w:cs="宋体"/>
          <w:sz w:val="24"/>
        </w:rPr>
      </w:pPr>
      <w:r>
        <w:rPr>
          <w:rFonts w:hint="eastAsia" w:ascii="宋体" w:hAnsi="宋体" w:eastAsia="宋体" w:cs="宋体"/>
          <w:sz w:val="24"/>
        </w:rPr>
        <w:t>3.体现职教特色，注重实践应用。充分利用</w:t>
      </w:r>
      <w:r>
        <w:rPr>
          <w:rFonts w:asciiTheme="minorEastAsia" w:hAnsiTheme="minorEastAsia"/>
          <w:sz w:val="24"/>
          <w:szCs w:val="24"/>
        </w:rPr>
        <w:t>校内</w:t>
      </w:r>
      <w:r>
        <w:rPr>
          <w:rFonts w:hint="eastAsia" w:asciiTheme="minorEastAsia" w:hAnsiTheme="minorEastAsia"/>
          <w:sz w:val="24"/>
          <w:szCs w:val="24"/>
        </w:rPr>
        <w:t>商务活动资源，</w:t>
      </w:r>
      <w:r>
        <w:rPr>
          <w:rFonts w:hint="eastAsia" w:ascii="宋体" w:hAnsi="宋体" w:eastAsia="宋体" w:cs="宋体"/>
          <w:sz w:val="24"/>
        </w:rPr>
        <w:t>如跨境电商实训基地等，结合校外实训基地、实习单位和实施产教结合的场所，能完成课程设置所规定的所有实训项目。通过项目引领、模块组合、小组合作，以任务为学习载体，以任务的实施过程为主线，将知识点的讲解贯穿于任务的实施过程中，随着任务的进展来推动知识点的扩展。在韩语听说基础课程教学过程中，以模拟韩语商务活动的形式进行实践教学，使学生边学边做，边做边学，以兴趣为引导，让学生轻松愉快地完成各模块的学习任务。</w:t>
      </w:r>
    </w:p>
    <w:p w14:paraId="545E9329">
      <w:pPr>
        <w:topLinePunct/>
        <w:ind w:firstLine="480" w:firstLineChars="200"/>
        <w:jc w:val="both"/>
        <w:rPr>
          <w:rFonts w:ascii="宋体" w:hAnsi="宋体" w:eastAsia="宋体" w:cs="宋体"/>
          <w:sz w:val="24"/>
        </w:rPr>
      </w:pPr>
      <w:r>
        <w:rPr>
          <w:rFonts w:hint="eastAsia" w:ascii="宋体" w:hAnsi="宋体" w:eastAsia="宋体" w:cs="宋体"/>
          <w:sz w:val="24"/>
        </w:rPr>
        <w:t>4.利用信息技术，提高教学效果。教师要主动适应信息社会时代背景下的韩语听说基础教学方式，结合韩语听说基础课程特点，将信息技术与韩语听说基础课程深度融合，提高课堂教学的信息化程度。通过运用虚拟场景、微视频、动画、多媒体课件等信息化教学手段，提高教学效率。</w:t>
      </w:r>
    </w:p>
    <w:p w14:paraId="7A16C2E2">
      <w:pPr>
        <w:topLinePunct/>
        <w:ind w:firstLine="480" w:firstLineChars="200"/>
        <w:jc w:val="both"/>
        <w:rPr>
          <w:rFonts w:ascii="宋体" w:hAnsi="宋体" w:eastAsia="宋体" w:cs="宋体"/>
          <w:sz w:val="24"/>
        </w:rPr>
      </w:pPr>
      <w:r>
        <w:rPr>
          <w:rFonts w:hint="eastAsia" w:ascii="宋体" w:hAnsi="宋体" w:eastAsia="宋体" w:cs="宋体"/>
          <w:sz w:val="24"/>
        </w:rPr>
        <w:t>5.对接标准规范，提升职业素养。将韩语翻译类行业职业标准、行业标准中听力要求、口语规范、翻译技巧、职业操守等内容融入韩语听说基础课程教学，同时将敬职敬业、吃苦耐劳、求真务实等职业品质的养成融入到相关教学实践中，使学生在知识和技能的学习中形成良好的职业操守和职业道德。</w:t>
      </w:r>
    </w:p>
    <w:p w14:paraId="23F7703D">
      <w:pPr>
        <w:topLinePunct/>
        <w:ind w:firstLine="482" w:firstLineChars="200"/>
        <w:jc w:val="both"/>
        <w:rPr>
          <w:rFonts w:ascii="宋体" w:hAnsi="宋体" w:eastAsia="宋体" w:cs="黑体"/>
          <w:b/>
          <w:sz w:val="24"/>
        </w:rPr>
      </w:pPr>
      <w:r>
        <w:rPr>
          <w:rFonts w:hint="eastAsia" w:ascii="宋体" w:hAnsi="宋体" w:eastAsia="宋体" w:cs="黑体"/>
          <w:b/>
          <w:sz w:val="24"/>
        </w:rPr>
        <w:t>（二）评价建议</w:t>
      </w:r>
    </w:p>
    <w:p w14:paraId="6F8D8EF0">
      <w:pPr>
        <w:topLinePunct/>
        <w:ind w:firstLine="480" w:firstLineChars="200"/>
        <w:jc w:val="both"/>
        <w:rPr>
          <w:rFonts w:ascii="宋体" w:hAnsi="宋体" w:eastAsia="宋体" w:cs="宋体"/>
          <w:sz w:val="24"/>
        </w:rPr>
      </w:pPr>
      <w:r>
        <w:rPr>
          <w:rFonts w:ascii="宋体" w:hAnsi="宋体" w:eastAsia="宋体" w:cs="宋体"/>
          <w:sz w:val="24"/>
        </w:rPr>
        <w:t>1.</w:t>
      </w:r>
      <w:r>
        <w:rPr>
          <w:rFonts w:hint="eastAsia" w:cs="宋体" w:asciiTheme="minorEastAsia" w:hAnsiTheme="minorEastAsia"/>
          <w:sz w:val="24"/>
        </w:rPr>
        <w:t>注重过程评价与结果评价并重、定性评价与定量评价相结合</w:t>
      </w:r>
      <w:r>
        <w:rPr>
          <w:rFonts w:hint="eastAsia" w:asciiTheme="minorEastAsia" w:hAnsiTheme="minorEastAsia"/>
          <w:sz w:val="24"/>
          <w:szCs w:val="24"/>
        </w:rPr>
        <w:t>，树立正确的教学质量观，根据商务韩语专业的培养目标和人才培养理念，建立科学的评价标准。同时，利用清晰明确的评价标准，引导学生更高效开展学习任务</w:t>
      </w:r>
      <w:r>
        <w:rPr>
          <w:rFonts w:hint="eastAsia" w:ascii="宋体" w:hAnsi="宋体" w:eastAsia="宋体" w:cs="宋体"/>
          <w:sz w:val="24"/>
        </w:rPr>
        <w:t>。</w:t>
      </w:r>
    </w:p>
    <w:p w14:paraId="1581B087">
      <w:pPr>
        <w:topLinePunct/>
        <w:ind w:firstLine="480" w:firstLineChars="200"/>
        <w:jc w:val="both"/>
        <w:rPr>
          <w:rFonts w:ascii="宋体" w:hAnsi="宋体" w:eastAsia="宋体" w:cs="宋体"/>
          <w:sz w:val="24"/>
        </w:rPr>
      </w:pPr>
      <w:r>
        <w:rPr>
          <w:rFonts w:ascii="宋体" w:hAnsi="宋体" w:eastAsia="宋体" w:cs="宋体"/>
          <w:sz w:val="24"/>
        </w:rPr>
        <w:t>2</w:t>
      </w:r>
      <w:r>
        <w:rPr>
          <w:rFonts w:hint="eastAsia" w:ascii="宋体" w:hAnsi="宋体" w:eastAsia="宋体" w:cs="宋体"/>
          <w:sz w:val="24"/>
        </w:rPr>
        <w:t>.</w:t>
      </w:r>
      <w:r>
        <w:rPr>
          <w:rFonts w:hint="eastAsia" w:asciiTheme="minorEastAsia" w:hAnsiTheme="minorEastAsia"/>
          <w:sz w:val="24"/>
          <w:szCs w:val="24"/>
        </w:rPr>
        <w:t>评价方式多样化。</w:t>
      </w:r>
      <w:r>
        <w:rPr>
          <w:rFonts w:hint="eastAsia" w:ascii="宋体" w:hAnsi="宋体" w:eastAsia="宋体" w:cs="宋体"/>
          <w:sz w:val="24"/>
        </w:rPr>
        <w:t>根据不同的教学内容，选择不同的评价重点</w:t>
      </w:r>
      <w:r>
        <w:rPr>
          <w:rFonts w:hint="eastAsia" w:asciiTheme="minorEastAsia" w:hAnsiTheme="minorEastAsia"/>
          <w:sz w:val="24"/>
          <w:szCs w:val="24"/>
        </w:rPr>
        <w:t>；</w:t>
      </w:r>
      <w:r>
        <w:rPr>
          <w:rFonts w:hint="eastAsia" w:ascii="宋体" w:hAnsi="宋体" w:eastAsia="宋体" w:cs="宋体"/>
          <w:sz w:val="24"/>
        </w:rPr>
        <w:t>根据不同的教学目标，开展课前摸底、随堂测验、阶段测验、学生展示、活动报告等各具特色的评价形式；在教学的不同阶段，</w:t>
      </w:r>
      <w:r>
        <w:rPr>
          <w:rFonts w:hint="eastAsia" w:asciiTheme="minorEastAsia" w:hAnsiTheme="minorEastAsia"/>
          <w:sz w:val="24"/>
          <w:szCs w:val="24"/>
        </w:rPr>
        <w:t>依据学生的课前预习、课堂活动、课后作业等学习表现进行综合评价</w:t>
      </w:r>
      <w:r>
        <w:rPr>
          <w:rFonts w:hint="eastAsia" w:ascii="宋体" w:hAnsi="宋体" w:eastAsia="宋体" w:cs="宋体"/>
          <w:sz w:val="24"/>
        </w:rPr>
        <w:t>。</w:t>
      </w:r>
    </w:p>
    <w:p w14:paraId="653B3E75">
      <w:pPr>
        <w:topLinePunct/>
        <w:ind w:firstLine="480" w:firstLineChars="200"/>
        <w:jc w:val="both"/>
        <w:rPr>
          <w:rFonts w:asciiTheme="minorEastAsia" w:hAnsiTheme="minorEastAsia"/>
          <w:sz w:val="24"/>
          <w:szCs w:val="24"/>
        </w:rPr>
      </w:pPr>
      <w:r>
        <w:rPr>
          <w:rFonts w:asciiTheme="minorEastAsia" w:hAnsiTheme="minorEastAsia"/>
          <w:sz w:val="24"/>
          <w:szCs w:val="24"/>
        </w:rPr>
        <w:t>3.</w:t>
      </w:r>
      <w:r>
        <w:rPr>
          <w:rFonts w:hint="eastAsia" w:asciiTheme="minorEastAsia" w:hAnsiTheme="minorEastAsia"/>
          <w:sz w:val="24"/>
          <w:szCs w:val="24"/>
        </w:rPr>
        <w:t>评价主体多元化。教师评价、学生互评与自我评价相结合，注意吸收家长、行业企业参与，校内校外评价结合，职业技能鉴定与学业考核结合。</w:t>
      </w:r>
    </w:p>
    <w:p w14:paraId="2F13FD9F">
      <w:pPr>
        <w:topLinePunct/>
        <w:ind w:firstLine="480" w:firstLineChars="200"/>
        <w:jc w:val="both"/>
        <w:rPr>
          <w:rFonts w:asciiTheme="minorEastAsia" w:hAnsiTheme="minorEastAsia"/>
          <w:sz w:val="24"/>
          <w:szCs w:val="24"/>
        </w:rPr>
      </w:pPr>
      <w:r>
        <w:rPr>
          <w:rFonts w:hint="eastAsia" w:asciiTheme="minorEastAsia" w:hAnsiTheme="minorEastAsia"/>
          <w:sz w:val="24"/>
          <w:szCs w:val="24"/>
        </w:rPr>
        <w:t>4.评价标准多维性。评价不仅关注学生对知识的理解和技能的掌握，更要注重运用知识在实践中解决问题的能力水平，重视职业素质的培养。平时的评分内容包括学习能力、团队协作精神、沟通交际能力、语言表达能力、知识的运用和掌握能力等方面的考核。</w:t>
      </w:r>
    </w:p>
    <w:p w14:paraId="00790B81">
      <w:pPr>
        <w:topLinePunct/>
        <w:ind w:firstLine="482" w:firstLineChars="200"/>
        <w:jc w:val="both"/>
        <w:rPr>
          <w:rFonts w:ascii="宋体" w:hAnsi="宋体" w:eastAsia="宋体" w:cs="黑体"/>
          <w:b/>
          <w:sz w:val="24"/>
        </w:rPr>
      </w:pPr>
      <w:r>
        <w:rPr>
          <w:rFonts w:hint="eastAsia" w:ascii="宋体" w:hAnsi="宋体" w:eastAsia="宋体" w:cs="黑体"/>
          <w:b/>
          <w:sz w:val="24"/>
        </w:rPr>
        <w:t>（三）教材编写和选用建议</w:t>
      </w:r>
    </w:p>
    <w:p w14:paraId="1BE5F951">
      <w:pPr>
        <w:topLinePunct/>
        <w:ind w:firstLine="480" w:firstLineChars="200"/>
        <w:jc w:val="both"/>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教材编写与选用必须依据本标准。</w:t>
      </w:r>
    </w:p>
    <w:p w14:paraId="6C193D95">
      <w:pPr>
        <w:topLinePunct/>
        <w:ind w:firstLine="480" w:firstLineChars="200"/>
        <w:jc w:val="both"/>
        <w:rPr>
          <w:rFonts w:ascii="宋体" w:hAnsi="宋体" w:eastAsia="宋体" w:cs="宋体"/>
          <w:sz w:val="24"/>
        </w:rPr>
      </w:pPr>
      <w:r>
        <w:rPr>
          <w:rFonts w:hint="eastAsia" w:ascii="宋体" w:hAnsi="宋体" w:eastAsia="宋体" w:cs="宋体"/>
          <w:sz w:val="24"/>
        </w:rPr>
        <w:t>2</w:t>
      </w:r>
      <w:r>
        <w:rPr>
          <w:rFonts w:ascii="宋体" w:hAnsi="宋体" w:eastAsia="宋体" w:cs="宋体"/>
          <w:sz w:val="24"/>
        </w:rPr>
        <w:t>.</w:t>
      </w:r>
      <w:r>
        <w:rPr>
          <w:rFonts w:hint="eastAsia" w:ascii="宋体" w:hAnsi="宋体" w:eastAsia="宋体" w:cs="宋体"/>
          <w:sz w:val="24"/>
        </w:rPr>
        <w:t>教材编写要吸纳行业、企业专家共同参与，对接岗位职责，突出工作过程导向，</w:t>
      </w:r>
      <w:r>
        <w:rPr>
          <w:rFonts w:hint="eastAsia" w:asciiTheme="minorEastAsia" w:hAnsiTheme="minorEastAsia"/>
          <w:sz w:val="24"/>
          <w:szCs w:val="24"/>
        </w:rPr>
        <w:t>采用项目导向、任务驱动的方式重组教学内容，突出韩语商务助理人员的职业技能的培养和职业素养的养成</w:t>
      </w:r>
      <w:r>
        <w:rPr>
          <w:rFonts w:hint="eastAsia" w:ascii="宋体" w:hAnsi="宋体" w:eastAsia="宋体" w:cs="宋体"/>
          <w:sz w:val="24"/>
        </w:rPr>
        <w:t>。</w:t>
      </w:r>
    </w:p>
    <w:p w14:paraId="63913476">
      <w:pPr>
        <w:topLinePunct/>
        <w:ind w:firstLine="480" w:firstLineChars="200"/>
        <w:jc w:val="both"/>
        <w:rPr>
          <w:rFonts w:ascii="宋体" w:hAnsi="宋体" w:eastAsia="宋体" w:cs="宋体"/>
          <w:sz w:val="24"/>
        </w:rPr>
      </w:pPr>
      <w:r>
        <w:rPr>
          <w:rFonts w:ascii="宋体" w:hAnsi="宋体" w:eastAsia="宋体" w:cs="宋体"/>
          <w:sz w:val="24"/>
        </w:rPr>
        <w:t>3.</w:t>
      </w:r>
      <w:r>
        <w:rPr>
          <w:rFonts w:hint="eastAsia" w:ascii="宋体" w:hAnsi="宋体" w:eastAsia="宋体" w:cs="宋体"/>
          <w:sz w:val="24"/>
        </w:rPr>
        <w:t>教材呈现方式应符合中职生的年龄特征与认知规律，图文并茂，以情景对话为主，激发学生学习韩语的兴趣，为学生提供真实的商务场景感受。</w:t>
      </w:r>
    </w:p>
    <w:p w14:paraId="57D5EFCC">
      <w:pPr>
        <w:topLinePunct/>
        <w:ind w:firstLine="482" w:firstLineChars="200"/>
        <w:jc w:val="both"/>
        <w:rPr>
          <w:rFonts w:ascii="宋体" w:hAnsi="宋体" w:eastAsia="宋体" w:cs="黑体"/>
          <w:b/>
          <w:sz w:val="24"/>
        </w:rPr>
      </w:pPr>
      <w:r>
        <w:rPr>
          <w:rFonts w:hint="eastAsia" w:ascii="宋体" w:hAnsi="宋体" w:eastAsia="宋体" w:cs="黑体"/>
          <w:b/>
          <w:sz w:val="24"/>
        </w:rPr>
        <w:t>（四）课程资源开发与利用建议</w:t>
      </w:r>
      <w:bookmarkStart w:id="0" w:name="_Hlk145579225"/>
    </w:p>
    <w:p w14:paraId="23EF6727">
      <w:pPr>
        <w:topLinePunct/>
        <w:ind w:firstLine="480" w:firstLineChars="200"/>
        <w:jc w:val="both"/>
        <w:rPr>
          <w:rFonts w:asciiTheme="minorEastAsia" w:hAnsiTheme="minorEastAsia"/>
          <w:sz w:val="24"/>
          <w:szCs w:val="24"/>
        </w:rPr>
      </w:pPr>
      <w:r>
        <w:rPr>
          <w:rFonts w:hint="eastAsia" w:asciiTheme="minorEastAsia" w:hAnsiTheme="minorEastAsia"/>
          <w:sz w:val="24"/>
          <w:szCs w:val="24"/>
        </w:rPr>
        <w:t>1.材料资料。教学现场应配置符合国家标准的专业教材及文献资料，提供教学课件、工作页等教学资源，建议引入业务电话音频、商务会议视频、询价报价音频等企业日常业务相关的视听资源，强化知识与技能学习的真实性和规范性。</w:t>
      </w:r>
    </w:p>
    <w:p w14:paraId="52D971B1">
      <w:pPr>
        <w:topLinePunct/>
        <w:ind w:firstLine="480" w:firstLineChars="200"/>
        <w:jc w:val="both"/>
        <w:rPr>
          <w:rFonts w:asciiTheme="minorEastAsia" w:hAnsiTheme="minorEastAsia"/>
          <w:sz w:val="24"/>
          <w:szCs w:val="24"/>
        </w:rPr>
      </w:pPr>
      <w:r>
        <w:rPr>
          <w:rFonts w:hint="eastAsia" w:asciiTheme="minorEastAsia" w:hAnsiTheme="minorEastAsia"/>
          <w:sz w:val="24"/>
          <w:szCs w:val="24"/>
        </w:rPr>
        <w:t>2.信息资源。投影、录像等资源有利于创设形象生动的学习环境，激发学生的学习兴趣，促进学生对知识的理解和掌握。建议联合企业加强课程资源的开发，建立多媒体课程资源的数据库，努力实现校企间多媒体资源共享。同时，充分利用网络资源、教育网站等信息资源，使教学媒体从单一媒体向多媒体转变。</w:t>
      </w:r>
    </w:p>
    <w:p w14:paraId="0DD3916F">
      <w:pPr>
        <w:topLinePunct/>
        <w:ind w:firstLine="480" w:firstLineChars="200"/>
        <w:jc w:val="both"/>
        <w:rPr>
          <w:rFonts w:asciiTheme="minorEastAsia" w:hAnsiTheme="minorEastAsia"/>
          <w:sz w:val="24"/>
          <w:szCs w:val="24"/>
        </w:rPr>
      </w:pPr>
      <w:r>
        <w:rPr>
          <w:rFonts w:hint="eastAsia" w:asciiTheme="minorEastAsia" w:hAnsiTheme="minorEastAsia"/>
          <w:sz w:val="24"/>
          <w:szCs w:val="24"/>
        </w:rPr>
        <w:t xml:space="preserve">推荐信息手段：电脑、平板电脑、NAVER </w:t>
      </w:r>
      <w:r>
        <w:rPr>
          <w:rFonts w:asciiTheme="minorEastAsia" w:hAnsiTheme="minorEastAsia"/>
          <w:sz w:val="24"/>
          <w:szCs w:val="24"/>
        </w:rPr>
        <w:t>APP</w:t>
      </w:r>
      <w:r>
        <w:rPr>
          <w:rFonts w:hint="eastAsia" w:asciiTheme="minorEastAsia" w:hAnsiTheme="minorEastAsia"/>
          <w:sz w:val="24"/>
          <w:szCs w:val="24"/>
        </w:rPr>
        <w:t>、超星学习通、希沃白板、希沃投屏、问卷星等。</w:t>
      </w:r>
    </w:p>
    <w:p w14:paraId="1F19D296">
      <w:pPr>
        <w:topLinePunct/>
        <w:ind w:firstLine="480" w:firstLineChars="200"/>
        <w:jc w:val="both"/>
        <w:rPr>
          <w:rFonts w:asciiTheme="minorEastAsia" w:hAnsiTheme="minorEastAsia"/>
          <w:sz w:val="24"/>
          <w:szCs w:val="24"/>
        </w:rPr>
      </w:pPr>
      <w:r>
        <w:rPr>
          <w:rFonts w:hint="eastAsia" w:asciiTheme="minorEastAsia" w:hAnsiTheme="minorEastAsia"/>
          <w:sz w:val="24"/>
          <w:szCs w:val="24"/>
        </w:rPr>
        <w:t>3.实物资源。充分利用韩语语言教学中常规教学工具，借助实物、卡片、海报等具象演示手段丰富课堂活动，提高学习趣味性，有助于学生联系工作场景，体验真实的工作流程。</w:t>
      </w:r>
    </w:p>
    <w:p w14:paraId="3B23AE4A">
      <w:pPr>
        <w:topLinePunct/>
        <w:ind w:firstLine="480" w:firstLineChars="200"/>
        <w:jc w:val="both"/>
        <w:rPr>
          <w:rFonts w:cs="宋体" w:asciiTheme="minorEastAsia" w:hAnsiTheme="minorEastAsia"/>
          <w:kern w:val="0"/>
          <w:sz w:val="24"/>
        </w:rPr>
      </w:pPr>
      <w:r>
        <w:rPr>
          <w:rFonts w:hint="eastAsia" w:asciiTheme="minorEastAsia" w:hAnsiTheme="minorEastAsia"/>
          <w:sz w:val="24"/>
          <w:szCs w:val="24"/>
        </w:rPr>
        <w:t>推荐使用资源：学习卡片、照片、标签、海报、卡片、彩笔、各种办公室用品等。</w:t>
      </w:r>
      <w:bookmarkEnd w:id="0"/>
    </w:p>
    <w:p w14:paraId="5C8C39EF">
      <w:pPr>
        <w:topLinePunct/>
        <w:adjustRightInd w:val="0"/>
        <w:ind w:firstLine="562" w:firstLineChars="200"/>
        <w:jc w:val="both"/>
        <w:rPr>
          <w:rFonts w:ascii="宋体" w:hAnsi="宋体" w:eastAsia="宋体" w:cs="黑体"/>
          <w:b/>
          <w:sz w:val="28"/>
          <w:szCs w:val="28"/>
        </w:rPr>
      </w:pPr>
      <w:r>
        <w:rPr>
          <w:rFonts w:hint="eastAsia" w:ascii="宋体" w:hAnsi="宋体" w:eastAsia="宋体" w:cs="黑体"/>
          <w:b/>
          <w:sz w:val="28"/>
          <w:szCs w:val="28"/>
        </w:rPr>
        <w:t>七、说明</w:t>
      </w:r>
    </w:p>
    <w:p w14:paraId="44DAF0FE">
      <w:pPr>
        <w:pStyle w:val="3"/>
        <w:ind w:firstLine="480" w:firstLineChars="200"/>
        <w:jc w:val="both"/>
        <w:rPr>
          <w:rFonts w:ascii="宋体" w:hAnsi="宋体" w:eastAsia="宋体" w:cs="宋体"/>
          <w:sz w:val="24"/>
        </w:rPr>
      </w:pPr>
      <w:r>
        <w:rPr>
          <w:rFonts w:hint="eastAsia" w:ascii="宋体" w:hAnsi="宋体" w:eastAsia="宋体" w:cs="宋体"/>
          <w:sz w:val="24"/>
        </w:rPr>
        <w:t>本标准依据《江苏省中等职业学校语言类商务韩语专业指导性人才培养方案》编制，适用于江苏省中等职业学校语言类商务韩语专业（三年制）学生。</w:t>
      </w:r>
    </w:p>
    <w:p w14:paraId="15194254">
      <w:pPr>
        <w:pStyle w:val="3"/>
        <w:ind w:firstLine="480" w:firstLineChars="200"/>
        <w:jc w:val="both"/>
        <w:rPr>
          <w:rFonts w:ascii="宋体" w:hAnsi="宋体" w:eastAsia="宋体" w:cs="宋体"/>
          <w:sz w:val="24"/>
        </w:rPr>
      </w:pPr>
    </w:p>
    <w:p w14:paraId="5EB30619">
      <w:pPr>
        <w:ind w:firstLine="482" w:firstLineChars="200"/>
        <w:jc w:val="both"/>
        <w:rPr>
          <w:rFonts w:ascii="宋体" w:hAnsi="宋体" w:eastAsia="宋体" w:cs="宋体"/>
          <w:color w:val="000000" w:themeColor="text1"/>
          <w:sz w:val="24"/>
          <w14:textFill>
            <w14:solidFill>
              <w14:schemeClr w14:val="tx1"/>
            </w14:solidFill>
          </w14:textFill>
        </w:rPr>
      </w:pPr>
      <w:r>
        <w:rPr>
          <w:rFonts w:hint="eastAsia" w:ascii="宋体" w:hAnsi="宋体" w:eastAsia="宋体" w:cs="宋体"/>
          <w:b/>
          <w:bCs/>
          <w:sz w:val="24"/>
        </w:rPr>
        <w:t>（开发人员及单位：</w:t>
      </w:r>
      <w:r>
        <w:rPr>
          <w:rFonts w:hint="eastAsia" w:ascii="宋体" w:hAnsi="宋体" w:eastAsia="宋体" w:cs="宋体"/>
          <w:color w:val="000000" w:themeColor="text1"/>
          <w:sz w:val="24"/>
          <w14:textFill>
            <w14:solidFill>
              <w14:schemeClr w14:val="tx1"/>
            </w14:solidFill>
          </w14:textFill>
        </w:rPr>
        <w:t>郭楠楠、王磊，盐城市经贸高级职业学校；魏衍科，宜兴高等职业技术学校；</w:t>
      </w:r>
      <w:r>
        <w:rPr>
          <w:rFonts w:ascii="宋体" w:hAnsi="宋体" w:eastAsia="宋体" w:cs="宋体"/>
          <w:color w:val="000000" w:themeColor="text1"/>
          <w:sz w:val="24"/>
          <w14:textFill>
            <w14:solidFill>
              <w14:schemeClr w14:val="tx1"/>
            </w14:solidFill>
          </w14:textFill>
        </w:rPr>
        <w:t>李敏</w:t>
      </w:r>
      <w:r>
        <w:rPr>
          <w:rFonts w:hint="eastAsia" w:ascii="宋体" w:hAnsi="宋体" w:eastAsia="宋体" w:cs="宋体"/>
          <w:color w:val="000000" w:themeColor="text1"/>
          <w:sz w:val="24"/>
          <w14:textFill>
            <w14:solidFill>
              <w14:schemeClr w14:val="tx1"/>
            </w14:solidFill>
          </w14:textFill>
        </w:rPr>
        <w:t>、王进</w:t>
      </w:r>
      <w:r>
        <w:rPr>
          <w:rFonts w:ascii="宋体" w:hAnsi="宋体" w:eastAsia="宋体" w:cs="宋体"/>
          <w:color w:val="000000" w:themeColor="text1"/>
          <w:sz w:val="24"/>
          <w14:textFill>
            <w14:solidFill>
              <w14:schemeClr w14:val="tx1"/>
            </w14:solidFill>
          </w14:textFill>
        </w:rPr>
        <w:t>，扬州旅游商贸学校</w:t>
      </w:r>
      <w:r>
        <w:rPr>
          <w:rFonts w:hint="eastAsia" w:ascii="宋体" w:hAnsi="宋体" w:eastAsia="宋体" w:cs="宋体"/>
          <w:color w:val="000000" w:themeColor="text1"/>
          <w:sz w:val="24"/>
          <w14:textFill>
            <w14:solidFill>
              <w14:schemeClr w14:val="tx1"/>
            </w14:solidFill>
          </w14:textFill>
        </w:rPr>
        <w:t>；吴娜、殷佳茜，南京慕学教育科技有限公司）</w:t>
      </w:r>
    </w:p>
    <w:sectPr>
      <w:footerReference r:id="rId3" w:type="default"/>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2010601030101010101"/>
    <w:charset w:val="86"/>
    <w:family w:val="auto"/>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82135158"/>
    </w:sdtPr>
    <w:sdtContent>
      <w:p w14:paraId="608CB40C">
        <w:pPr>
          <w:pStyle w:val="6"/>
          <w:jc w:val="center"/>
        </w:pPr>
        <w:r>
          <w:fldChar w:fldCharType="begin"/>
        </w:r>
        <w:r>
          <w:instrText xml:space="preserve">PAGE   \* MERGEFORMAT</w:instrText>
        </w:r>
        <w:r>
          <w:fldChar w:fldCharType="separate"/>
        </w:r>
        <w:r>
          <w:rPr>
            <w:lang w:val="zh-CN"/>
          </w:rPr>
          <w:t>3</w:t>
        </w:r>
        <w:r>
          <w:rPr>
            <w:lang w:val="zh-CN"/>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NWNjZjQwODVhNmFlYTIzMGI2MzNmNDAwZTNlZTEifQ=="/>
  </w:docVars>
  <w:rsids>
    <w:rsidRoot w:val="00E867D0"/>
    <w:rsid w:val="00002261"/>
    <w:rsid w:val="00002DD3"/>
    <w:rsid w:val="00006735"/>
    <w:rsid w:val="0001676B"/>
    <w:rsid w:val="00016F3C"/>
    <w:rsid w:val="00017A19"/>
    <w:rsid w:val="00023635"/>
    <w:rsid w:val="0002516A"/>
    <w:rsid w:val="00031692"/>
    <w:rsid w:val="0003351F"/>
    <w:rsid w:val="00034372"/>
    <w:rsid w:val="000379E9"/>
    <w:rsid w:val="000461B2"/>
    <w:rsid w:val="00046D80"/>
    <w:rsid w:val="00047E3F"/>
    <w:rsid w:val="00055902"/>
    <w:rsid w:val="00055AB5"/>
    <w:rsid w:val="00056A9D"/>
    <w:rsid w:val="000661C9"/>
    <w:rsid w:val="00066541"/>
    <w:rsid w:val="00067303"/>
    <w:rsid w:val="00073465"/>
    <w:rsid w:val="00081706"/>
    <w:rsid w:val="00084BE0"/>
    <w:rsid w:val="000861B3"/>
    <w:rsid w:val="00090BCB"/>
    <w:rsid w:val="000919D4"/>
    <w:rsid w:val="00095831"/>
    <w:rsid w:val="000958BB"/>
    <w:rsid w:val="00097D20"/>
    <w:rsid w:val="000A11E6"/>
    <w:rsid w:val="000A2621"/>
    <w:rsid w:val="000A2C3C"/>
    <w:rsid w:val="000A32AD"/>
    <w:rsid w:val="000A5B31"/>
    <w:rsid w:val="000B01B2"/>
    <w:rsid w:val="000B62A2"/>
    <w:rsid w:val="000C0458"/>
    <w:rsid w:val="000C1965"/>
    <w:rsid w:val="000C27EA"/>
    <w:rsid w:val="000C617E"/>
    <w:rsid w:val="000C6636"/>
    <w:rsid w:val="000C76D0"/>
    <w:rsid w:val="000C7BCC"/>
    <w:rsid w:val="000C7C3B"/>
    <w:rsid w:val="000D2B82"/>
    <w:rsid w:val="000D341E"/>
    <w:rsid w:val="000E1129"/>
    <w:rsid w:val="000E1E8A"/>
    <w:rsid w:val="000E716A"/>
    <w:rsid w:val="000F21F8"/>
    <w:rsid w:val="000F4345"/>
    <w:rsid w:val="000F5E2D"/>
    <w:rsid w:val="00100B3C"/>
    <w:rsid w:val="001021EA"/>
    <w:rsid w:val="0010280F"/>
    <w:rsid w:val="00114383"/>
    <w:rsid w:val="0011534D"/>
    <w:rsid w:val="00121727"/>
    <w:rsid w:val="00122072"/>
    <w:rsid w:val="0012440D"/>
    <w:rsid w:val="00133FF5"/>
    <w:rsid w:val="0013750E"/>
    <w:rsid w:val="00137C5D"/>
    <w:rsid w:val="00153918"/>
    <w:rsid w:val="001567EC"/>
    <w:rsid w:val="001652D4"/>
    <w:rsid w:val="00171E13"/>
    <w:rsid w:val="001721CF"/>
    <w:rsid w:val="00172235"/>
    <w:rsid w:val="00173E2F"/>
    <w:rsid w:val="00176458"/>
    <w:rsid w:val="001811A2"/>
    <w:rsid w:val="0018158E"/>
    <w:rsid w:val="0018340C"/>
    <w:rsid w:val="00184C98"/>
    <w:rsid w:val="00187DBD"/>
    <w:rsid w:val="0019597C"/>
    <w:rsid w:val="001A0F84"/>
    <w:rsid w:val="001A26DD"/>
    <w:rsid w:val="001B0286"/>
    <w:rsid w:val="001C77ED"/>
    <w:rsid w:val="001D40AC"/>
    <w:rsid w:val="001E2A1D"/>
    <w:rsid w:val="001E7804"/>
    <w:rsid w:val="001F0150"/>
    <w:rsid w:val="001F1248"/>
    <w:rsid w:val="001F5A12"/>
    <w:rsid w:val="001F7A3C"/>
    <w:rsid w:val="0020031D"/>
    <w:rsid w:val="00201370"/>
    <w:rsid w:val="00201666"/>
    <w:rsid w:val="0020307F"/>
    <w:rsid w:val="002061DE"/>
    <w:rsid w:val="002078CD"/>
    <w:rsid w:val="0021053A"/>
    <w:rsid w:val="00212AA2"/>
    <w:rsid w:val="002144C9"/>
    <w:rsid w:val="00223993"/>
    <w:rsid w:val="00225528"/>
    <w:rsid w:val="002353B9"/>
    <w:rsid w:val="00237F74"/>
    <w:rsid w:val="00240E85"/>
    <w:rsid w:val="0024179B"/>
    <w:rsid w:val="0024417E"/>
    <w:rsid w:val="00245586"/>
    <w:rsid w:val="00247D6B"/>
    <w:rsid w:val="002524CF"/>
    <w:rsid w:val="00254F6A"/>
    <w:rsid w:val="002558D8"/>
    <w:rsid w:val="00260DBD"/>
    <w:rsid w:val="00266E87"/>
    <w:rsid w:val="00271F72"/>
    <w:rsid w:val="00272586"/>
    <w:rsid w:val="002744FC"/>
    <w:rsid w:val="00277703"/>
    <w:rsid w:val="00280DFD"/>
    <w:rsid w:val="00281CAA"/>
    <w:rsid w:val="00282BC1"/>
    <w:rsid w:val="002832A3"/>
    <w:rsid w:val="00283ECF"/>
    <w:rsid w:val="00284BAC"/>
    <w:rsid w:val="002857C6"/>
    <w:rsid w:val="00290186"/>
    <w:rsid w:val="00292529"/>
    <w:rsid w:val="0029354E"/>
    <w:rsid w:val="00296A0D"/>
    <w:rsid w:val="0029791A"/>
    <w:rsid w:val="00297FCE"/>
    <w:rsid w:val="002B0AF5"/>
    <w:rsid w:val="002B0E02"/>
    <w:rsid w:val="002B14B8"/>
    <w:rsid w:val="002B3DD1"/>
    <w:rsid w:val="002B7D72"/>
    <w:rsid w:val="002C027A"/>
    <w:rsid w:val="002C5624"/>
    <w:rsid w:val="002D23ED"/>
    <w:rsid w:val="002E30FC"/>
    <w:rsid w:val="002E3BC2"/>
    <w:rsid w:val="002F2F36"/>
    <w:rsid w:val="00314420"/>
    <w:rsid w:val="0032141A"/>
    <w:rsid w:val="00321F88"/>
    <w:rsid w:val="00331375"/>
    <w:rsid w:val="0033218D"/>
    <w:rsid w:val="003340AB"/>
    <w:rsid w:val="003364DC"/>
    <w:rsid w:val="00337868"/>
    <w:rsid w:val="0034057F"/>
    <w:rsid w:val="00341B24"/>
    <w:rsid w:val="00342E64"/>
    <w:rsid w:val="00343595"/>
    <w:rsid w:val="00343775"/>
    <w:rsid w:val="0035062C"/>
    <w:rsid w:val="00360318"/>
    <w:rsid w:val="00363C21"/>
    <w:rsid w:val="00370C88"/>
    <w:rsid w:val="0038168A"/>
    <w:rsid w:val="0039010B"/>
    <w:rsid w:val="00391252"/>
    <w:rsid w:val="00391D88"/>
    <w:rsid w:val="00392457"/>
    <w:rsid w:val="003949B6"/>
    <w:rsid w:val="00395079"/>
    <w:rsid w:val="003969AF"/>
    <w:rsid w:val="003A46FB"/>
    <w:rsid w:val="003B10D9"/>
    <w:rsid w:val="003B26CB"/>
    <w:rsid w:val="003B4223"/>
    <w:rsid w:val="003B7B66"/>
    <w:rsid w:val="003C3574"/>
    <w:rsid w:val="003C4FE7"/>
    <w:rsid w:val="003C5AD1"/>
    <w:rsid w:val="003D2C37"/>
    <w:rsid w:val="003D5F69"/>
    <w:rsid w:val="003D7F37"/>
    <w:rsid w:val="003E21F9"/>
    <w:rsid w:val="003F1027"/>
    <w:rsid w:val="003F34E2"/>
    <w:rsid w:val="003F5953"/>
    <w:rsid w:val="00406363"/>
    <w:rsid w:val="0041199B"/>
    <w:rsid w:val="0042430D"/>
    <w:rsid w:val="00425270"/>
    <w:rsid w:val="00427788"/>
    <w:rsid w:val="00431D82"/>
    <w:rsid w:val="0043351B"/>
    <w:rsid w:val="00434D79"/>
    <w:rsid w:val="00435A91"/>
    <w:rsid w:val="00440285"/>
    <w:rsid w:val="00444A1F"/>
    <w:rsid w:val="00445B79"/>
    <w:rsid w:val="00447BD8"/>
    <w:rsid w:val="004507CD"/>
    <w:rsid w:val="00462E45"/>
    <w:rsid w:val="004661C4"/>
    <w:rsid w:val="00470A71"/>
    <w:rsid w:val="0047482B"/>
    <w:rsid w:val="00485799"/>
    <w:rsid w:val="00487B6D"/>
    <w:rsid w:val="00495AC3"/>
    <w:rsid w:val="004A0967"/>
    <w:rsid w:val="004A418D"/>
    <w:rsid w:val="004A48FF"/>
    <w:rsid w:val="004A55A6"/>
    <w:rsid w:val="004B2369"/>
    <w:rsid w:val="004B44DB"/>
    <w:rsid w:val="004B4EDF"/>
    <w:rsid w:val="004B689D"/>
    <w:rsid w:val="004C0C3A"/>
    <w:rsid w:val="004C0E2C"/>
    <w:rsid w:val="004C1C6F"/>
    <w:rsid w:val="004C1E24"/>
    <w:rsid w:val="004C5306"/>
    <w:rsid w:val="004C5BD8"/>
    <w:rsid w:val="004D2698"/>
    <w:rsid w:val="004D735C"/>
    <w:rsid w:val="004D74EB"/>
    <w:rsid w:val="004E140D"/>
    <w:rsid w:val="004E261C"/>
    <w:rsid w:val="004E407E"/>
    <w:rsid w:val="004E4783"/>
    <w:rsid w:val="004E4D19"/>
    <w:rsid w:val="004F04B7"/>
    <w:rsid w:val="004F0718"/>
    <w:rsid w:val="004F2CDD"/>
    <w:rsid w:val="004F2D61"/>
    <w:rsid w:val="00501241"/>
    <w:rsid w:val="005046A4"/>
    <w:rsid w:val="00505178"/>
    <w:rsid w:val="005054E6"/>
    <w:rsid w:val="0051004F"/>
    <w:rsid w:val="00511DFF"/>
    <w:rsid w:val="00514ACC"/>
    <w:rsid w:val="0051730D"/>
    <w:rsid w:val="00517958"/>
    <w:rsid w:val="005219CA"/>
    <w:rsid w:val="00522BDA"/>
    <w:rsid w:val="00522C90"/>
    <w:rsid w:val="00525C65"/>
    <w:rsid w:val="00526E11"/>
    <w:rsid w:val="00526EE9"/>
    <w:rsid w:val="00530B75"/>
    <w:rsid w:val="00530FA2"/>
    <w:rsid w:val="00534B99"/>
    <w:rsid w:val="00535ECB"/>
    <w:rsid w:val="005411B6"/>
    <w:rsid w:val="00546490"/>
    <w:rsid w:val="005477C2"/>
    <w:rsid w:val="0055127F"/>
    <w:rsid w:val="00554BB8"/>
    <w:rsid w:val="005558E0"/>
    <w:rsid w:val="0056396E"/>
    <w:rsid w:val="00567591"/>
    <w:rsid w:val="00570956"/>
    <w:rsid w:val="00571009"/>
    <w:rsid w:val="005823E1"/>
    <w:rsid w:val="0058360E"/>
    <w:rsid w:val="00594E01"/>
    <w:rsid w:val="00595C78"/>
    <w:rsid w:val="00596B35"/>
    <w:rsid w:val="005A79EE"/>
    <w:rsid w:val="005C2617"/>
    <w:rsid w:val="005C40A3"/>
    <w:rsid w:val="005C58F2"/>
    <w:rsid w:val="005C621B"/>
    <w:rsid w:val="005E00AB"/>
    <w:rsid w:val="005E1E66"/>
    <w:rsid w:val="005E2806"/>
    <w:rsid w:val="005E29B2"/>
    <w:rsid w:val="005E54C4"/>
    <w:rsid w:val="005F58BD"/>
    <w:rsid w:val="005F5950"/>
    <w:rsid w:val="00601CAF"/>
    <w:rsid w:val="00602F36"/>
    <w:rsid w:val="00603028"/>
    <w:rsid w:val="00603D29"/>
    <w:rsid w:val="00607443"/>
    <w:rsid w:val="00607A1F"/>
    <w:rsid w:val="006115C6"/>
    <w:rsid w:val="00612183"/>
    <w:rsid w:val="00612C00"/>
    <w:rsid w:val="00616455"/>
    <w:rsid w:val="00617635"/>
    <w:rsid w:val="00620AA1"/>
    <w:rsid w:val="0062111C"/>
    <w:rsid w:val="00621D7C"/>
    <w:rsid w:val="00637287"/>
    <w:rsid w:val="00642B06"/>
    <w:rsid w:val="00644438"/>
    <w:rsid w:val="00644B83"/>
    <w:rsid w:val="0064659A"/>
    <w:rsid w:val="0065791E"/>
    <w:rsid w:val="00663E40"/>
    <w:rsid w:val="00663F5A"/>
    <w:rsid w:val="00664DC3"/>
    <w:rsid w:val="00666B06"/>
    <w:rsid w:val="00687CC4"/>
    <w:rsid w:val="00690E02"/>
    <w:rsid w:val="00691E9F"/>
    <w:rsid w:val="0069364E"/>
    <w:rsid w:val="00694836"/>
    <w:rsid w:val="0069587D"/>
    <w:rsid w:val="00697620"/>
    <w:rsid w:val="006A0097"/>
    <w:rsid w:val="006A0517"/>
    <w:rsid w:val="006A0D9C"/>
    <w:rsid w:val="006A2860"/>
    <w:rsid w:val="006A4072"/>
    <w:rsid w:val="006A7E72"/>
    <w:rsid w:val="006B365C"/>
    <w:rsid w:val="006C137B"/>
    <w:rsid w:val="006C5618"/>
    <w:rsid w:val="006D65E6"/>
    <w:rsid w:val="006E3CE2"/>
    <w:rsid w:val="006F477D"/>
    <w:rsid w:val="006F71B4"/>
    <w:rsid w:val="00700D0C"/>
    <w:rsid w:val="00720FD7"/>
    <w:rsid w:val="00724858"/>
    <w:rsid w:val="0073015F"/>
    <w:rsid w:val="00734AA6"/>
    <w:rsid w:val="007359B3"/>
    <w:rsid w:val="00742329"/>
    <w:rsid w:val="00743709"/>
    <w:rsid w:val="00751D99"/>
    <w:rsid w:val="00752324"/>
    <w:rsid w:val="0075236D"/>
    <w:rsid w:val="00765127"/>
    <w:rsid w:val="0076612B"/>
    <w:rsid w:val="00766A24"/>
    <w:rsid w:val="00771CEE"/>
    <w:rsid w:val="007830B3"/>
    <w:rsid w:val="00791066"/>
    <w:rsid w:val="0079170C"/>
    <w:rsid w:val="00791EBE"/>
    <w:rsid w:val="00796D20"/>
    <w:rsid w:val="007A42D3"/>
    <w:rsid w:val="007A457A"/>
    <w:rsid w:val="007A774D"/>
    <w:rsid w:val="007B038B"/>
    <w:rsid w:val="007B166C"/>
    <w:rsid w:val="007B1916"/>
    <w:rsid w:val="007B20C6"/>
    <w:rsid w:val="007B2C44"/>
    <w:rsid w:val="007B589C"/>
    <w:rsid w:val="007C0F49"/>
    <w:rsid w:val="007C1208"/>
    <w:rsid w:val="007C39F4"/>
    <w:rsid w:val="007C3E08"/>
    <w:rsid w:val="007C5DDA"/>
    <w:rsid w:val="007E14E9"/>
    <w:rsid w:val="007E14EC"/>
    <w:rsid w:val="007E41F6"/>
    <w:rsid w:val="007F3632"/>
    <w:rsid w:val="007F3F2F"/>
    <w:rsid w:val="007F4741"/>
    <w:rsid w:val="007F6089"/>
    <w:rsid w:val="00801A57"/>
    <w:rsid w:val="008068AF"/>
    <w:rsid w:val="00807BF2"/>
    <w:rsid w:val="008172BE"/>
    <w:rsid w:val="00817341"/>
    <w:rsid w:val="00823114"/>
    <w:rsid w:val="00827C56"/>
    <w:rsid w:val="008349B6"/>
    <w:rsid w:val="00834F7E"/>
    <w:rsid w:val="00835ECA"/>
    <w:rsid w:val="00843B63"/>
    <w:rsid w:val="00847EED"/>
    <w:rsid w:val="008533DC"/>
    <w:rsid w:val="0085414F"/>
    <w:rsid w:val="00855ACC"/>
    <w:rsid w:val="008576DA"/>
    <w:rsid w:val="008614C7"/>
    <w:rsid w:val="00865709"/>
    <w:rsid w:val="00870ECA"/>
    <w:rsid w:val="0087310F"/>
    <w:rsid w:val="00874161"/>
    <w:rsid w:val="00875FF0"/>
    <w:rsid w:val="00877CC9"/>
    <w:rsid w:val="008824B1"/>
    <w:rsid w:val="0088362D"/>
    <w:rsid w:val="0088565B"/>
    <w:rsid w:val="00885955"/>
    <w:rsid w:val="008877C3"/>
    <w:rsid w:val="0089060B"/>
    <w:rsid w:val="0089292C"/>
    <w:rsid w:val="008A2238"/>
    <w:rsid w:val="008A3EA4"/>
    <w:rsid w:val="008A4566"/>
    <w:rsid w:val="008A60AE"/>
    <w:rsid w:val="008A7EFF"/>
    <w:rsid w:val="008B56C8"/>
    <w:rsid w:val="008B5C0C"/>
    <w:rsid w:val="008C13A9"/>
    <w:rsid w:val="008C239C"/>
    <w:rsid w:val="008C39C4"/>
    <w:rsid w:val="008C5620"/>
    <w:rsid w:val="008D0BFE"/>
    <w:rsid w:val="008E0819"/>
    <w:rsid w:val="008E0EDD"/>
    <w:rsid w:val="008E7D72"/>
    <w:rsid w:val="008F0047"/>
    <w:rsid w:val="008F1AC9"/>
    <w:rsid w:val="008F5371"/>
    <w:rsid w:val="00900166"/>
    <w:rsid w:val="0090141D"/>
    <w:rsid w:val="009018ED"/>
    <w:rsid w:val="00910690"/>
    <w:rsid w:val="00921620"/>
    <w:rsid w:val="00921FA5"/>
    <w:rsid w:val="00922A43"/>
    <w:rsid w:val="00924FCC"/>
    <w:rsid w:val="00927852"/>
    <w:rsid w:val="009348EA"/>
    <w:rsid w:val="00935062"/>
    <w:rsid w:val="0093628B"/>
    <w:rsid w:val="009368E8"/>
    <w:rsid w:val="009423A8"/>
    <w:rsid w:val="00947444"/>
    <w:rsid w:val="009511A1"/>
    <w:rsid w:val="0095343A"/>
    <w:rsid w:val="00953D5D"/>
    <w:rsid w:val="00955E76"/>
    <w:rsid w:val="00957DEB"/>
    <w:rsid w:val="009632B0"/>
    <w:rsid w:val="00963613"/>
    <w:rsid w:val="00963B9B"/>
    <w:rsid w:val="00963E2A"/>
    <w:rsid w:val="009660B7"/>
    <w:rsid w:val="009662D5"/>
    <w:rsid w:val="00970374"/>
    <w:rsid w:val="00975D4B"/>
    <w:rsid w:val="00976B9F"/>
    <w:rsid w:val="00976DB5"/>
    <w:rsid w:val="009834F6"/>
    <w:rsid w:val="00987A74"/>
    <w:rsid w:val="009905BE"/>
    <w:rsid w:val="0099120D"/>
    <w:rsid w:val="00994F4C"/>
    <w:rsid w:val="0099661A"/>
    <w:rsid w:val="009A1CE7"/>
    <w:rsid w:val="009A3B93"/>
    <w:rsid w:val="009A6B9C"/>
    <w:rsid w:val="009A6CA0"/>
    <w:rsid w:val="009A704E"/>
    <w:rsid w:val="009A7E9D"/>
    <w:rsid w:val="009B18F4"/>
    <w:rsid w:val="009B1E21"/>
    <w:rsid w:val="009B64A3"/>
    <w:rsid w:val="009C06FA"/>
    <w:rsid w:val="009C2BFC"/>
    <w:rsid w:val="009C3E91"/>
    <w:rsid w:val="009D07BA"/>
    <w:rsid w:val="009D24C2"/>
    <w:rsid w:val="009E05B3"/>
    <w:rsid w:val="009E3C05"/>
    <w:rsid w:val="009F4343"/>
    <w:rsid w:val="009F4E1F"/>
    <w:rsid w:val="009F5A47"/>
    <w:rsid w:val="00A0444B"/>
    <w:rsid w:val="00A07991"/>
    <w:rsid w:val="00A24A88"/>
    <w:rsid w:val="00A27412"/>
    <w:rsid w:val="00A43D64"/>
    <w:rsid w:val="00A448D2"/>
    <w:rsid w:val="00A450CB"/>
    <w:rsid w:val="00A46883"/>
    <w:rsid w:val="00A51AC3"/>
    <w:rsid w:val="00A51B41"/>
    <w:rsid w:val="00A53B68"/>
    <w:rsid w:val="00A53D5B"/>
    <w:rsid w:val="00A53F91"/>
    <w:rsid w:val="00A54DC0"/>
    <w:rsid w:val="00A57B09"/>
    <w:rsid w:val="00A61E4A"/>
    <w:rsid w:val="00A7421C"/>
    <w:rsid w:val="00A752AF"/>
    <w:rsid w:val="00A957A1"/>
    <w:rsid w:val="00A95B47"/>
    <w:rsid w:val="00AA04CB"/>
    <w:rsid w:val="00AA17E1"/>
    <w:rsid w:val="00AB0A01"/>
    <w:rsid w:val="00AB2AEF"/>
    <w:rsid w:val="00AB2DC5"/>
    <w:rsid w:val="00AB38E0"/>
    <w:rsid w:val="00AC047E"/>
    <w:rsid w:val="00AC129A"/>
    <w:rsid w:val="00AC60DC"/>
    <w:rsid w:val="00AD2790"/>
    <w:rsid w:val="00AD3FFE"/>
    <w:rsid w:val="00AD4C1B"/>
    <w:rsid w:val="00AD7104"/>
    <w:rsid w:val="00AD72CF"/>
    <w:rsid w:val="00AD7DC1"/>
    <w:rsid w:val="00B01367"/>
    <w:rsid w:val="00B03373"/>
    <w:rsid w:val="00B0489F"/>
    <w:rsid w:val="00B0506A"/>
    <w:rsid w:val="00B05E92"/>
    <w:rsid w:val="00B23526"/>
    <w:rsid w:val="00B279B2"/>
    <w:rsid w:val="00B36BAF"/>
    <w:rsid w:val="00B43612"/>
    <w:rsid w:val="00B46EED"/>
    <w:rsid w:val="00B50743"/>
    <w:rsid w:val="00B5252C"/>
    <w:rsid w:val="00B61F3B"/>
    <w:rsid w:val="00B634C9"/>
    <w:rsid w:val="00B653D9"/>
    <w:rsid w:val="00B67183"/>
    <w:rsid w:val="00B72CBE"/>
    <w:rsid w:val="00B74FE4"/>
    <w:rsid w:val="00B76AB2"/>
    <w:rsid w:val="00B80F23"/>
    <w:rsid w:val="00B81724"/>
    <w:rsid w:val="00B817B0"/>
    <w:rsid w:val="00B83620"/>
    <w:rsid w:val="00B85896"/>
    <w:rsid w:val="00B960CC"/>
    <w:rsid w:val="00BA2CBF"/>
    <w:rsid w:val="00BA54EF"/>
    <w:rsid w:val="00BB498F"/>
    <w:rsid w:val="00BC29ED"/>
    <w:rsid w:val="00BD37E8"/>
    <w:rsid w:val="00BD5286"/>
    <w:rsid w:val="00BD63E2"/>
    <w:rsid w:val="00BE2B59"/>
    <w:rsid w:val="00BE40CF"/>
    <w:rsid w:val="00BE6846"/>
    <w:rsid w:val="00BF1EBE"/>
    <w:rsid w:val="00BF243A"/>
    <w:rsid w:val="00BF2DAA"/>
    <w:rsid w:val="00BF4EA3"/>
    <w:rsid w:val="00C019BD"/>
    <w:rsid w:val="00C05F1C"/>
    <w:rsid w:val="00C065F9"/>
    <w:rsid w:val="00C1311F"/>
    <w:rsid w:val="00C15651"/>
    <w:rsid w:val="00C20D8B"/>
    <w:rsid w:val="00C21774"/>
    <w:rsid w:val="00C3152E"/>
    <w:rsid w:val="00C37B7B"/>
    <w:rsid w:val="00C4298F"/>
    <w:rsid w:val="00C44199"/>
    <w:rsid w:val="00C50717"/>
    <w:rsid w:val="00C507BD"/>
    <w:rsid w:val="00C55674"/>
    <w:rsid w:val="00C56728"/>
    <w:rsid w:val="00C57675"/>
    <w:rsid w:val="00C601B5"/>
    <w:rsid w:val="00C61490"/>
    <w:rsid w:val="00C643A7"/>
    <w:rsid w:val="00C671DB"/>
    <w:rsid w:val="00C67D7D"/>
    <w:rsid w:val="00C70489"/>
    <w:rsid w:val="00C770EF"/>
    <w:rsid w:val="00C83A39"/>
    <w:rsid w:val="00C83E13"/>
    <w:rsid w:val="00C840D4"/>
    <w:rsid w:val="00C8430B"/>
    <w:rsid w:val="00C84E51"/>
    <w:rsid w:val="00C938B2"/>
    <w:rsid w:val="00CA0D1D"/>
    <w:rsid w:val="00CA0E60"/>
    <w:rsid w:val="00CA2D31"/>
    <w:rsid w:val="00CA3440"/>
    <w:rsid w:val="00CA6B71"/>
    <w:rsid w:val="00CB00EC"/>
    <w:rsid w:val="00CB11A6"/>
    <w:rsid w:val="00CB2E85"/>
    <w:rsid w:val="00CB435A"/>
    <w:rsid w:val="00CB6C3D"/>
    <w:rsid w:val="00CC130C"/>
    <w:rsid w:val="00CC1A20"/>
    <w:rsid w:val="00CC7D36"/>
    <w:rsid w:val="00CD06A8"/>
    <w:rsid w:val="00CD2EF3"/>
    <w:rsid w:val="00CE1A7C"/>
    <w:rsid w:val="00CE3127"/>
    <w:rsid w:val="00CE3B4F"/>
    <w:rsid w:val="00CE4A3A"/>
    <w:rsid w:val="00CF0DDC"/>
    <w:rsid w:val="00D019D6"/>
    <w:rsid w:val="00D03EE9"/>
    <w:rsid w:val="00D047AA"/>
    <w:rsid w:val="00D066D9"/>
    <w:rsid w:val="00D107C8"/>
    <w:rsid w:val="00D11A48"/>
    <w:rsid w:val="00D17AD1"/>
    <w:rsid w:val="00D20A92"/>
    <w:rsid w:val="00D3287E"/>
    <w:rsid w:val="00D3425A"/>
    <w:rsid w:val="00D35900"/>
    <w:rsid w:val="00D3621F"/>
    <w:rsid w:val="00D36CAF"/>
    <w:rsid w:val="00D436D5"/>
    <w:rsid w:val="00D43FCE"/>
    <w:rsid w:val="00D450E1"/>
    <w:rsid w:val="00D465D9"/>
    <w:rsid w:val="00D47395"/>
    <w:rsid w:val="00D51337"/>
    <w:rsid w:val="00D5743C"/>
    <w:rsid w:val="00D60AB4"/>
    <w:rsid w:val="00D62E37"/>
    <w:rsid w:val="00D6709F"/>
    <w:rsid w:val="00D82A99"/>
    <w:rsid w:val="00D8460A"/>
    <w:rsid w:val="00D90221"/>
    <w:rsid w:val="00D924D2"/>
    <w:rsid w:val="00D964F1"/>
    <w:rsid w:val="00DA1C18"/>
    <w:rsid w:val="00DA5FA9"/>
    <w:rsid w:val="00DB03EB"/>
    <w:rsid w:val="00DB09D4"/>
    <w:rsid w:val="00DB2806"/>
    <w:rsid w:val="00DB5BCE"/>
    <w:rsid w:val="00DB71F6"/>
    <w:rsid w:val="00DC18CC"/>
    <w:rsid w:val="00DC5182"/>
    <w:rsid w:val="00DC5CC4"/>
    <w:rsid w:val="00DC6E59"/>
    <w:rsid w:val="00DD2CD5"/>
    <w:rsid w:val="00DD3232"/>
    <w:rsid w:val="00DD4B69"/>
    <w:rsid w:val="00DD5BCC"/>
    <w:rsid w:val="00DD6F5C"/>
    <w:rsid w:val="00DE01AD"/>
    <w:rsid w:val="00DF12A2"/>
    <w:rsid w:val="00DF2E8E"/>
    <w:rsid w:val="00DF3517"/>
    <w:rsid w:val="00DF36FC"/>
    <w:rsid w:val="00DF533F"/>
    <w:rsid w:val="00E008A8"/>
    <w:rsid w:val="00E057BE"/>
    <w:rsid w:val="00E12318"/>
    <w:rsid w:val="00E12D8A"/>
    <w:rsid w:val="00E14BD7"/>
    <w:rsid w:val="00E14C3B"/>
    <w:rsid w:val="00E14D7D"/>
    <w:rsid w:val="00E23BCA"/>
    <w:rsid w:val="00E245B6"/>
    <w:rsid w:val="00E26FB6"/>
    <w:rsid w:val="00E33CD7"/>
    <w:rsid w:val="00E44612"/>
    <w:rsid w:val="00E564F6"/>
    <w:rsid w:val="00E56DFB"/>
    <w:rsid w:val="00E61CA1"/>
    <w:rsid w:val="00E63940"/>
    <w:rsid w:val="00E64707"/>
    <w:rsid w:val="00E71806"/>
    <w:rsid w:val="00E71B4B"/>
    <w:rsid w:val="00E7216A"/>
    <w:rsid w:val="00E73781"/>
    <w:rsid w:val="00E75CD5"/>
    <w:rsid w:val="00E848A7"/>
    <w:rsid w:val="00E867D0"/>
    <w:rsid w:val="00E87856"/>
    <w:rsid w:val="00E91E89"/>
    <w:rsid w:val="00E94FE2"/>
    <w:rsid w:val="00EA0063"/>
    <w:rsid w:val="00EA16DB"/>
    <w:rsid w:val="00EA2BF0"/>
    <w:rsid w:val="00EA355D"/>
    <w:rsid w:val="00EA37F6"/>
    <w:rsid w:val="00EA567B"/>
    <w:rsid w:val="00EB0192"/>
    <w:rsid w:val="00EB2AEB"/>
    <w:rsid w:val="00EB63F4"/>
    <w:rsid w:val="00EC20CE"/>
    <w:rsid w:val="00EC42ED"/>
    <w:rsid w:val="00ED0F2E"/>
    <w:rsid w:val="00ED12F0"/>
    <w:rsid w:val="00ED1C16"/>
    <w:rsid w:val="00ED2AC3"/>
    <w:rsid w:val="00EE4F53"/>
    <w:rsid w:val="00EE740D"/>
    <w:rsid w:val="00EF37EC"/>
    <w:rsid w:val="00EF45AF"/>
    <w:rsid w:val="00EF5E46"/>
    <w:rsid w:val="00EF7D85"/>
    <w:rsid w:val="00F01A3A"/>
    <w:rsid w:val="00F024FD"/>
    <w:rsid w:val="00F12AAF"/>
    <w:rsid w:val="00F176BA"/>
    <w:rsid w:val="00F20D0D"/>
    <w:rsid w:val="00F21C45"/>
    <w:rsid w:val="00F223D2"/>
    <w:rsid w:val="00F24F42"/>
    <w:rsid w:val="00F27031"/>
    <w:rsid w:val="00F334E6"/>
    <w:rsid w:val="00F342B8"/>
    <w:rsid w:val="00F44B12"/>
    <w:rsid w:val="00F52186"/>
    <w:rsid w:val="00F52DF9"/>
    <w:rsid w:val="00F55DEA"/>
    <w:rsid w:val="00F57171"/>
    <w:rsid w:val="00F628D3"/>
    <w:rsid w:val="00F67A37"/>
    <w:rsid w:val="00F75AEF"/>
    <w:rsid w:val="00F76D46"/>
    <w:rsid w:val="00F77E73"/>
    <w:rsid w:val="00F811B9"/>
    <w:rsid w:val="00F82330"/>
    <w:rsid w:val="00F827C6"/>
    <w:rsid w:val="00F8794F"/>
    <w:rsid w:val="00F9048A"/>
    <w:rsid w:val="00FA131C"/>
    <w:rsid w:val="00FA1F3A"/>
    <w:rsid w:val="00FA75E7"/>
    <w:rsid w:val="00FB0ABA"/>
    <w:rsid w:val="00FB5BF6"/>
    <w:rsid w:val="00FC24BC"/>
    <w:rsid w:val="00FC2F12"/>
    <w:rsid w:val="00FC34E5"/>
    <w:rsid w:val="00FC3E9F"/>
    <w:rsid w:val="00FC3FC2"/>
    <w:rsid w:val="00FC491E"/>
    <w:rsid w:val="00FD76BE"/>
    <w:rsid w:val="00FE0DFD"/>
    <w:rsid w:val="00FE1E3B"/>
    <w:rsid w:val="00FF2FA9"/>
    <w:rsid w:val="00FF53EB"/>
    <w:rsid w:val="00FF5BEC"/>
    <w:rsid w:val="00FF6AA4"/>
    <w:rsid w:val="0191087C"/>
    <w:rsid w:val="01C225ED"/>
    <w:rsid w:val="0222416B"/>
    <w:rsid w:val="02BD73B4"/>
    <w:rsid w:val="035C32B0"/>
    <w:rsid w:val="03730C0B"/>
    <w:rsid w:val="04785F26"/>
    <w:rsid w:val="0487523C"/>
    <w:rsid w:val="048E4E68"/>
    <w:rsid w:val="051C59ED"/>
    <w:rsid w:val="05403A5F"/>
    <w:rsid w:val="05C977E5"/>
    <w:rsid w:val="05EF644C"/>
    <w:rsid w:val="063B6F37"/>
    <w:rsid w:val="06896151"/>
    <w:rsid w:val="069A1273"/>
    <w:rsid w:val="073168E1"/>
    <w:rsid w:val="084E5C64"/>
    <w:rsid w:val="08A7581D"/>
    <w:rsid w:val="094F31D3"/>
    <w:rsid w:val="097C203A"/>
    <w:rsid w:val="09D60F1B"/>
    <w:rsid w:val="0A170A6A"/>
    <w:rsid w:val="0A780F63"/>
    <w:rsid w:val="0A7D24D8"/>
    <w:rsid w:val="0AD5416C"/>
    <w:rsid w:val="0BCC0A37"/>
    <w:rsid w:val="0BEC2290"/>
    <w:rsid w:val="0C81651C"/>
    <w:rsid w:val="0CD46A37"/>
    <w:rsid w:val="0CD64938"/>
    <w:rsid w:val="0CFF2EA1"/>
    <w:rsid w:val="0D206D3E"/>
    <w:rsid w:val="0E037C0B"/>
    <w:rsid w:val="0EC00B7E"/>
    <w:rsid w:val="0ED4329A"/>
    <w:rsid w:val="0F320DAE"/>
    <w:rsid w:val="0F5517A3"/>
    <w:rsid w:val="0F921960"/>
    <w:rsid w:val="11045BB9"/>
    <w:rsid w:val="112F34A8"/>
    <w:rsid w:val="1137315C"/>
    <w:rsid w:val="1199574F"/>
    <w:rsid w:val="11E63955"/>
    <w:rsid w:val="12690332"/>
    <w:rsid w:val="13AE4D19"/>
    <w:rsid w:val="14665577"/>
    <w:rsid w:val="14784A29"/>
    <w:rsid w:val="14A7430F"/>
    <w:rsid w:val="15400436"/>
    <w:rsid w:val="15657342"/>
    <w:rsid w:val="16853D49"/>
    <w:rsid w:val="173F07AA"/>
    <w:rsid w:val="178735E6"/>
    <w:rsid w:val="18483FB5"/>
    <w:rsid w:val="18647883"/>
    <w:rsid w:val="190C35AD"/>
    <w:rsid w:val="19C740D8"/>
    <w:rsid w:val="1A137C8A"/>
    <w:rsid w:val="1A64353D"/>
    <w:rsid w:val="1A8E7993"/>
    <w:rsid w:val="1AB87BF8"/>
    <w:rsid w:val="1ADA1ADD"/>
    <w:rsid w:val="1B3B475B"/>
    <w:rsid w:val="1B7D4020"/>
    <w:rsid w:val="1B98765D"/>
    <w:rsid w:val="1BE03BA0"/>
    <w:rsid w:val="1C4E1219"/>
    <w:rsid w:val="1E685790"/>
    <w:rsid w:val="1E950B2B"/>
    <w:rsid w:val="1ECC7838"/>
    <w:rsid w:val="1F420D66"/>
    <w:rsid w:val="206A4961"/>
    <w:rsid w:val="211F2167"/>
    <w:rsid w:val="213C1637"/>
    <w:rsid w:val="214C0E28"/>
    <w:rsid w:val="21942DAA"/>
    <w:rsid w:val="222E13FE"/>
    <w:rsid w:val="22316034"/>
    <w:rsid w:val="223D4B82"/>
    <w:rsid w:val="23296AE5"/>
    <w:rsid w:val="236B357A"/>
    <w:rsid w:val="23B269F7"/>
    <w:rsid w:val="23FA1381"/>
    <w:rsid w:val="2439578F"/>
    <w:rsid w:val="246E616E"/>
    <w:rsid w:val="2472601F"/>
    <w:rsid w:val="249963CC"/>
    <w:rsid w:val="24E424E1"/>
    <w:rsid w:val="2566205C"/>
    <w:rsid w:val="25B34B41"/>
    <w:rsid w:val="261044E3"/>
    <w:rsid w:val="26727B85"/>
    <w:rsid w:val="270F32D6"/>
    <w:rsid w:val="27AD7BA2"/>
    <w:rsid w:val="28227B36"/>
    <w:rsid w:val="28CA2D1C"/>
    <w:rsid w:val="28E619B2"/>
    <w:rsid w:val="290975E5"/>
    <w:rsid w:val="29745429"/>
    <w:rsid w:val="29ED400E"/>
    <w:rsid w:val="2A3A1DE5"/>
    <w:rsid w:val="2A4431B4"/>
    <w:rsid w:val="2BAF0784"/>
    <w:rsid w:val="2C776707"/>
    <w:rsid w:val="2C82205A"/>
    <w:rsid w:val="2CE20E35"/>
    <w:rsid w:val="2D0D16A5"/>
    <w:rsid w:val="2DB36936"/>
    <w:rsid w:val="2DDF4725"/>
    <w:rsid w:val="2E0F4396"/>
    <w:rsid w:val="2F793CB3"/>
    <w:rsid w:val="2FA7366A"/>
    <w:rsid w:val="2FD325CA"/>
    <w:rsid w:val="2FD652B7"/>
    <w:rsid w:val="313F3BA6"/>
    <w:rsid w:val="31B830E0"/>
    <w:rsid w:val="320B446D"/>
    <w:rsid w:val="32D904BC"/>
    <w:rsid w:val="32F94B8E"/>
    <w:rsid w:val="331B51D6"/>
    <w:rsid w:val="336B2B53"/>
    <w:rsid w:val="34CC1A28"/>
    <w:rsid w:val="34DB0F65"/>
    <w:rsid w:val="35C27DA0"/>
    <w:rsid w:val="36261F53"/>
    <w:rsid w:val="36C81DE8"/>
    <w:rsid w:val="36D64083"/>
    <w:rsid w:val="377859FD"/>
    <w:rsid w:val="38436044"/>
    <w:rsid w:val="387F7A1E"/>
    <w:rsid w:val="395037FA"/>
    <w:rsid w:val="3B9E3904"/>
    <w:rsid w:val="3BC3181C"/>
    <w:rsid w:val="3BC52A1D"/>
    <w:rsid w:val="3D5D1F2F"/>
    <w:rsid w:val="3E3C18A3"/>
    <w:rsid w:val="3E735CD6"/>
    <w:rsid w:val="3E8962DA"/>
    <w:rsid w:val="3EB94998"/>
    <w:rsid w:val="3F283660"/>
    <w:rsid w:val="3F350909"/>
    <w:rsid w:val="3FF7015C"/>
    <w:rsid w:val="404959A8"/>
    <w:rsid w:val="40B05B1F"/>
    <w:rsid w:val="413E0244"/>
    <w:rsid w:val="41AA0C03"/>
    <w:rsid w:val="429E2E14"/>
    <w:rsid w:val="42FE2483"/>
    <w:rsid w:val="432F5514"/>
    <w:rsid w:val="437D0224"/>
    <w:rsid w:val="43B8716C"/>
    <w:rsid w:val="43C3283B"/>
    <w:rsid w:val="440A578C"/>
    <w:rsid w:val="44C06BEE"/>
    <w:rsid w:val="46473547"/>
    <w:rsid w:val="46FB51BC"/>
    <w:rsid w:val="47125694"/>
    <w:rsid w:val="471A065F"/>
    <w:rsid w:val="47E409B2"/>
    <w:rsid w:val="48732FA5"/>
    <w:rsid w:val="48890188"/>
    <w:rsid w:val="495B048F"/>
    <w:rsid w:val="496B50F8"/>
    <w:rsid w:val="49B01612"/>
    <w:rsid w:val="4A595408"/>
    <w:rsid w:val="4ADC2B74"/>
    <w:rsid w:val="4B30622F"/>
    <w:rsid w:val="4BC27A67"/>
    <w:rsid w:val="4C8D1398"/>
    <w:rsid w:val="4C9A375E"/>
    <w:rsid w:val="4CA70128"/>
    <w:rsid w:val="4CEE560C"/>
    <w:rsid w:val="4D8F5FB1"/>
    <w:rsid w:val="4DC572D0"/>
    <w:rsid w:val="4E4C36E2"/>
    <w:rsid w:val="4EE51D25"/>
    <w:rsid w:val="4F9C7946"/>
    <w:rsid w:val="50CF5F36"/>
    <w:rsid w:val="518119C4"/>
    <w:rsid w:val="519A516D"/>
    <w:rsid w:val="521B769F"/>
    <w:rsid w:val="52E616D3"/>
    <w:rsid w:val="53CC3F8A"/>
    <w:rsid w:val="544637FA"/>
    <w:rsid w:val="54F16D1C"/>
    <w:rsid w:val="550021F7"/>
    <w:rsid w:val="557315BF"/>
    <w:rsid w:val="561B7CF8"/>
    <w:rsid w:val="56725F69"/>
    <w:rsid w:val="568715CF"/>
    <w:rsid w:val="56E512E6"/>
    <w:rsid w:val="576741BB"/>
    <w:rsid w:val="57D542ED"/>
    <w:rsid w:val="585D0200"/>
    <w:rsid w:val="592534AB"/>
    <w:rsid w:val="592B61C1"/>
    <w:rsid w:val="59CA4410"/>
    <w:rsid w:val="5A352BD7"/>
    <w:rsid w:val="5A3637F1"/>
    <w:rsid w:val="5A533DE6"/>
    <w:rsid w:val="5B396746"/>
    <w:rsid w:val="5B81699E"/>
    <w:rsid w:val="5D566440"/>
    <w:rsid w:val="5DDB45B0"/>
    <w:rsid w:val="5DFC7C4C"/>
    <w:rsid w:val="5FD154B4"/>
    <w:rsid w:val="5FF803BF"/>
    <w:rsid w:val="603B7793"/>
    <w:rsid w:val="604B4C22"/>
    <w:rsid w:val="60830691"/>
    <w:rsid w:val="60A43852"/>
    <w:rsid w:val="61345B2A"/>
    <w:rsid w:val="61502B73"/>
    <w:rsid w:val="618D180C"/>
    <w:rsid w:val="61DD5EE9"/>
    <w:rsid w:val="624D0F56"/>
    <w:rsid w:val="6349580F"/>
    <w:rsid w:val="648A7275"/>
    <w:rsid w:val="64D304B3"/>
    <w:rsid w:val="64E220DD"/>
    <w:rsid w:val="652F3878"/>
    <w:rsid w:val="654B6A4E"/>
    <w:rsid w:val="6559534A"/>
    <w:rsid w:val="677A226A"/>
    <w:rsid w:val="67D0686A"/>
    <w:rsid w:val="67E75B9C"/>
    <w:rsid w:val="6839194C"/>
    <w:rsid w:val="683B0980"/>
    <w:rsid w:val="686960E6"/>
    <w:rsid w:val="693C36FC"/>
    <w:rsid w:val="699157C1"/>
    <w:rsid w:val="69E01D5F"/>
    <w:rsid w:val="6A047E61"/>
    <w:rsid w:val="6A46304D"/>
    <w:rsid w:val="6BA91FF0"/>
    <w:rsid w:val="6BED1298"/>
    <w:rsid w:val="6C2E004A"/>
    <w:rsid w:val="6C711CE5"/>
    <w:rsid w:val="6CAF4717"/>
    <w:rsid w:val="6DA103DD"/>
    <w:rsid w:val="6E1537B2"/>
    <w:rsid w:val="6E3226C6"/>
    <w:rsid w:val="6E573559"/>
    <w:rsid w:val="6EC67842"/>
    <w:rsid w:val="6F3E05A4"/>
    <w:rsid w:val="6FB75470"/>
    <w:rsid w:val="6FDE2273"/>
    <w:rsid w:val="70755D98"/>
    <w:rsid w:val="70B20684"/>
    <w:rsid w:val="71347EB1"/>
    <w:rsid w:val="716B671F"/>
    <w:rsid w:val="71A2579E"/>
    <w:rsid w:val="72807A27"/>
    <w:rsid w:val="72CF445A"/>
    <w:rsid w:val="74032420"/>
    <w:rsid w:val="750D6C96"/>
    <w:rsid w:val="753E28E8"/>
    <w:rsid w:val="75A432DF"/>
    <w:rsid w:val="760D7C4A"/>
    <w:rsid w:val="764A03A3"/>
    <w:rsid w:val="766528BB"/>
    <w:rsid w:val="76BB055F"/>
    <w:rsid w:val="76EC296B"/>
    <w:rsid w:val="76F20AD9"/>
    <w:rsid w:val="76FA0FBF"/>
    <w:rsid w:val="771C12F2"/>
    <w:rsid w:val="77793AE0"/>
    <w:rsid w:val="790F4F57"/>
    <w:rsid w:val="7A5A3828"/>
    <w:rsid w:val="7ACA2556"/>
    <w:rsid w:val="7ADF33C8"/>
    <w:rsid w:val="7AF52990"/>
    <w:rsid w:val="7BB473CD"/>
    <w:rsid w:val="7BC27DA5"/>
    <w:rsid w:val="7C4A58F4"/>
    <w:rsid w:val="7CAB5D1B"/>
    <w:rsid w:val="7D422FE2"/>
    <w:rsid w:val="7D4C3BCA"/>
    <w:rsid w:val="7D965107"/>
    <w:rsid w:val="7E770786"/>
    <w:rsid w:val="7F4E60F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autoRedefine/>
    <w:qFormat/>
    <w:uiPriority w:val="9"/>
    <w:pPr>
      <w:spacing w:before="100" w:beforeAutospacing="1" w:after="100" w:afterAutospacing="1"/>
      <w:outlineLvl w:val="0"/>
    </w:pPr>
    <w:rPr>
      <w:rFonts w:ascii="宋体" w:hAnsi="宋体" w:eastAsia="宋体" w:cs="宋体"/>
      <w:b/>
      <w:bCs/>
      <w:kern w:val="36"/>
      <w:sz w:val="48"/>
      <w:szCs w:val="48"/>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4"/>
    <w:autoRedefine/>
    <w:unhideWhenUsed/>
    <w:qFormat/>
    <w:uiPriority w:val="99"/>
  </w:style>
  <w:style w:type="paragraph" w:styleId="4">
    <w:name w:val="Body Text"/>
    <w:basedOn w:val="1"/>
    <w:autoRedefine/>
    <w:qFormat/>
    <w:uiPriority w:val="0"/>
    <w:rPr>
      <w:sz w:val="24"/>
    </w:rPr>
  </w:style>
  <w:style w:type="paragraph" w:styleId="5">
    <w:name w:val="Balloon Text"/>
    <w:basedOn w:val="1"/>
    <w:link w:val="21"/>
    <w:autoRedefine/>
    <w:semiHidden/>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pPr>
    <w:rPr>
      <w:sz w:val="18"/>
    </w:rPr>
  </w:style>
  <w:style w:type="paragraph" w:styleId="7">
    <w:name w:val="header"/>
    <w:basedOn w:val="1"/>
    <w:autoRedefine/>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autoRedefine/>
    <w:semiHidden/>
    <w:unhideWhenUsed/>
    <w:qFormat/>
    <w:uiPriority w:val="99"/>
    <w:pPr>
      <w:spacing w:before="100" w:beforeAutospacing="1" w:after="100" w:afterAutospacing="1"/>
    </w:pPr>
    <w:rPr>
      <w:rFonts w:ascii="宋体" w:hAnsi="宋体" w:eastAsia="宋体" w:cs="宋体"/>
      <w:kern w:val="0"/>
      <w:sz w:val="24"/>
      <w:szCs w:val="24"/>
    </w:rPr>
  </w:style>
  <w:style w:type="paragraph" w:styleId="9">
    <w:name w:val="annotation subject"/>
    <w:basedOn w:val="3"/>
    <w:next w:val="3"/>
    <w:link w:val="25"/>
    <w:autoRedefine/>
    <w:semiHidden/>
    <w:unhideWhenUsed/>
    <w:qFormat/>
    <w:uiPriority w:val="99"/>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autoRedefine/>
    <w:qFormat/>
    <w:uiPriority w:val="0"/>
  </w:style>
  <w:style w:type="character" w:styleId="14">
    <w:name w:val="Hyperlink"/>
    <w:basedOn w:val="12"/>
    <w:autoRedefine/>
    <w:semiHidden/>
    <w:unhideWhenUsed/>
    <w:qFormat/>
    <w:uiPriority w:val="99"/>
    <w:rPr>
      <w:color w:val="0000FF"/>
      <w:u w:val="single"/>
    </w:rPr>
  </w:style>
  <w:style w:type="character" w:styleId="15">
    <w:name w:val="annotation reference"/>
    <w:basedOn w:val="12"/>
    <w:autoRedefine/>
    <w:semiHidden/>
    <w:unhideWhenUsed/>
    <w:qFormat/>
    <w:uiPriority w:val="99"/>
    <w:rPr>
      <w:sz w:val="21"/>
      <w:szCs w:val="21"/>
    </w:rPr>
  </w:style>
  <w:style w:type="paragraph" w:styleId="16">
    <w:name w:val="List Paragraph"/>
    <w:basedOn w:val="1"/>
    <w:autoRedefine/>
    <w:qFormat/>
    <w:uiPriority w:val="34"/>
    <w:pPr>
      <w:ind w:firstLine="420" w:firstLineChars="200"/>
    </w:pPr>
  </w:style>
  <w:style w:type="character" w:customStyle="1" w:styleId="17">
    <w:name w:val="标题 1 字符"/>
    <w:basedOn w:val="12"/>
    <w:link w:val="2"/>
    <w:autoRedefine/>
    <w:qFormat/>
    <w:uiPriority w:val="9"/>
    <w:rPr>
      <w:rFonts w:ascii="宋体" w:hAnsi="宋体" w:cs="宋体"/>
      <w:b/>
      <w:bCs/>
      <w:kern w:val="36"/>
      <w:sz w:val="48"/>
      <w:szCs w:val="48"/>
    </w:rPr>
  </w:style>
  <w:style w:type="paragraph" w:customStyle="1" w:styleId="18">
    <w:name w:val="无间隔1"/>
    <w:autoRedefine/>
    <w:qFormat/>
    <w:uiPriority w:val="99"/>
    <w:pPr>
      <w:adjustRightInd w:val="0"/>
      <w:snapToGrid w:val="0"/>
    </w:pPr>
    <w:rPr>
      <w:rFonts w:ascii="Tahoma" w:hAnsi="Tahoma" w:eastAsia="宋体" w:cs="Tahoma"/>
      <w:sz w:val="22"/>
      <w:szCs w:val="22"/>
      <w:lang w:val="en-US" w:eastAsia="zh-CN" w:bidi="ar-SA"/>
    </w:rPr>
  </w:style>
  <w:style w:type="character" w:customStyle="1" w:styleId="19">
    <w:name w:val="页脚 字符"/>
    <w:basedOn w:val="12"/>
    <w:link w:val="6"/>
    <w:autoRedefine/>
    <w:qFormat/>
    <w:uiPriority w:val="99"/>
    <w:rPr>
      <w:rFonts w:asciiTheme="minorHAnsi" w:hAnsiTheme="minorHAnsi" w:eastAsiaTheme="minorEastAsia" w:cstheme="minorBidi"/>
      <w:kern w:val="2"/>
      <w:sz w:val="18"/>
      <w:szCs w:val="22"/>
    </w:rPr>
  </w:style>
  <w:style w:type="table" w:customStyle="1" w:styleId="20">
    <w:name w:val="网格型1"/>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1">
    <w:name w:val="批注框文本 字符"/>
    <w:basedOn w:val="12"/>
    <w:link w:val="5"/>
    <w:autoRedefine/>
    <w:semiHidden/>
    <w:qFormat/>
    <w:uiPriority w:val="99"/>
    <w:rPr>
      <w:rFonts w:asciiTheme="minorHAnsi" w:hAnsiTheme="minorHAnsi" w:eastAsiaTheme="minorEastAsia" w:cstheme="minorBidi"/>
      <w:kern w:val="2"/>
      <w:sz w:val="18"/>
      <w:szCs w:val="18"/>
    </w:rPr>
  </w:style>
  <w:style w:type="paragraph" w:customStyle="1" w:styleId="22">
    <w:name w:val="样式2"/>
    <w:basedOn w:val="1"/>
    <w:autoRedefine/>
    <w:qFormat/>
    <w:uiPriority w:val="0"/>
    <w:pPr>
      <w:adjustRightInd w:val="0"/>
      <w:snapToGrid w:val="0"/>
      <w:spacing w:line="310" w:lineRule="atLeast"/>
      <w:jc w:val="center"/>
    </w:pPr>
    <w:rPr>
      <w:rFonts w:ascii="方正大标宋简体" w:eastAsia="方正大标宋简体"/>
      <w:sz w:val="36"/>
      <w:szCs w:val="20"/>
    </w:rPr>
  </w:style>
  <w:style w:type="paragraph" w:customStyle="1" w:styleId="23">
    <w:name w:val="样式3"/>
    <w:basedOn w:val="1"/>
    <w:autoRedefine/>
    <w:qFormat/>
    <w:uiPriority w:val="0"/>
    <w:pPr>
      <w:adjustRightInd w:val="0"/>
      <w:spacing w:line="720" w:lineRule="auto"/>
      <w:jc w:val="center"/>
    </w:pPr>
    <w:rPr>
      <w:rFonts w:eastAsia="黑体"/>
      <w:sz w:val="28"/>
      <w:szCs w:val="20"/>
    </w:rPr>
  </w:style>
  <w:style w:type="character" w:customStyle="1" w:styleId="24">
    <w:name w:val="批注文字 字符"/>
    <w:basedOn w:val="12"/>
    <w:link w:val="3"/>
    <w:autoRedefine/>
    <w:qFormat/>
    <w:uiPriority w:val="99"/>
    <w:rPr>
      <w:rFonts w:asciiTheme="minorHAnsi" w:hAnsiTheme="minorHAnsi" w:eastAsiaTheme="minorEastAsia" w:cstheme="minorBidi"/>
      <w:kern w:val="2"/>
      <w:sz w:val="21"/>
      <w:szCs w:val="22"/>
    </w:rPr>
  </w:style>
  <w:style w:type="character" w:customStyle="1" w:styleId="25">
    <w:name w:val="批注主题 字符"/>
    <w:basedOn w:val="24"/>
    <w:link w:val="9"/>
    <w:autoRedefine/>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38F87-5B5A-45F7-B5B2-33DECE0BDAE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5033</Words>
  <Characters>5141</Characters>
  <Lines>38</Lines>
  <Paragraphs>10</Paragraphs>
  <TotalTime>31</TotalTime>
  <ScaleCrop>false</ScaleCrop>
  <LinksUpToDate>false</LinksUpToDate>
  <CharactersWithSpaces>5159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2022-08-31T13:16:00Z</dcterms:created>
  <dc:creator>admin</dc:creator>
  <cp:lastModifiedBy>WPS_1591163723</cp:lastModifiedBy>
  <cp:lastPrinted>2022-09-04T07:19:00Z</cp:lastPrinted>
  <dcterms:modified xsi:type="dcterms:W3CDTF">2024-07-02T14:23:50Z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36392565E178422FBCD03FFEFECB78AC_13</vt:lpwstr>
  </property>
</Properties>
</file>