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0E47A">
      <w:pPr>
        <w:topLinePunct/>
        <w:adjustRightInd w:val="0"/>
        <w:jc w:val="center"/>
        <w:rPr>
          <w:rFonts w:ascii="宋体" w:hAnsi="宋体" w:eastAsia="宋体" w:cs="Arial Unicode MS"/>
          <w:b/>
          <w:w w:val="97"/>
          <w:sz w:val="32"/>
          <w:szCs w:val="32"/>
        </w:rPr>
      </w:pPr>
      <w:r>
        <w:rPr>
          <w:rFonts w:hint="eastAsia" w:ascii="宋体" w:hAnsi="宋体" w:eastAsia="宋体" w:cs="Arial Unicode MS"/>
          <w:b/>
          <w:w w:val="97"/>
          <w:sz w:val="32"/>
          <w:szCs w:val="32"/>
        </w:rPr>
        <w:t>江苏省中等职业学校国际贸易类商务韩语专业</w:t>
      </w:r>
    </w:p>
    <w:p w14:paraId="5A79E2A9">
      <w:pPr>
        <w:topLinePunct/>
        <w:adjustRightInd w:val="0"/>
        <w:ind w:firstLine="643"/>
        <w:jc w:val="center"/>
        <w:rPr>
          <w:rFonts w:ascii="宋体" w:hAnsi="宋体" w:eastAsia="宋体" w:cs="Arial Unicode MS"/>
          <w:b/>
          <w:sz w:val="32"/>
          <w:szCs w:val="32"/>
        </w:rPr>
      </w:pPr>
      <w:r>
        <w:rPr>
          <w:rFonts w:hint="eastAsia" w:ascii="宋体" w:hAnsi="宋体" w:eastAsia="宋体" w:cs="Arial Unicode MS"/>
          <w:b/>
          <w:sz w:val="32"/>
          <w:szCs w:val="32"/>
        </w:rPr>
        <w:t>《商务韩文阅读》课程标准（试行）</w:t>
      </w:r>
    </w:p>
    <w:p w14:paraId="0E1FCA76"/>
    <w:p w14:paraId="2E9F3024">
      <w:pPr>
        <w:topLinePunct/>
        <w:adjustRightInd w:val="0"/>
        <w:ind w:firstLine="562" w:firstLineChars="200"/>
        <w:rPr>
          <w:rFonts w:ascii="宋体" w:hAnsi="宋体" w:eastAsia="宋体" w:cs="黑体"/>
          <w:b/>
          <w:sz w:val="28"/>
          <w:szCs w:val="28"/>
        </w:rPr>
      </w:pPr>
      <w:r>
        <w:rPr>
          <w:rFonts w:hint="eastAsia" w:ascii="宋体" w:hAnsi="宋体" w:eastAsia="宋体" w:cs="黑体"/>
          <w:b/>
          <w:sz w:val="28"/>
          <w:szCs w:val="28"/>
        </w:rPr>
        <w:t>一、课程性质</w:t>
      </w:r>
    </w:p>
    <w:p w14:paraId="2BF9DA3C">
      <w:pPr>
        <w:topLinePunct/>
        <w:ind w:firstLine="480" w:firstLineChars="200"/>
        <w:jc w:val="both"/>
        <w:rPr>
          <w:rFonts w:ascii="宋体" w:hAnsi="宋体" w:eastAsia="宋体" w:cs="宋体"/>
          <w:sz w:val="24"/>
        </w:rPr>
      </w:pPr>
      <w:r>
        <w:rPr>
          <w:rFonts w:hint="eastAsia" w:ascii="宋体" w:hAnsi="宋体" w:eastAsia="宋体" w:cs="宋体"/>
          <w:sz w:val="24"/>
        </w:rPr>
        <w:t>本课程是江苏省中等职业学校国际贸易类商务韩语专业必修的一门专业核心课程，是在《商务韩语听说》等课程基础上，开设的</w:t>
      </w:r>
      <w:r>
        <w:rPr>
          <w:rFonts w:hint="eastAsia" w:cs="宋体" w:asciiTheme="minorEastAsia" w:hAnsiTheme="minorEastAsia"/>
          <w:sz w:val="24"/>
        </w:rPr>
        <w:t>一门理论与实践相结合的专业</w:t>
      </w:r>
      <w:r>
        <w:rPr>
          <w:rFonts w:hint="eastAsia" w:ascii="宋体" w:hAnsi="宋体" w:eastAsia="宋体" w:cs="宋体"/>
          <w:sz w:val="24"/>
        </w:rPr>
        <w:t>课程，其任务是让学生掌握韩语语言的基础知识与商务文件阅读及综合运用的基本技能，为后续《商务韩语翻译与写作》等课程的学习奠定基础。</w:t>
      </w:r>
    </w:p>
    <w:p w14:paraId="0FAB9211">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二、学时与学分</w:t>
      </w:r>
    </w:p>
    <w:p w14:paraId="341A2784">
      <w:pPr>
        <w:ind w:firstLine="480" w:firstLineChars="200"/>
        <w:jc w:val="both"/>
        <w:rPr>
          <w:rFonts w:ascii="宋体" w:hAnsi="宋体" w:eastAsia="宋体"/>
          <w:sz w:val="24"/>
        </w:rPr>
      </w:pPr>
      <w:r>
        <w:rPr>
          <w:rFonts w:ascii="宋体" w:hAnsi="宋体" w:eastAsia="宋体" w:cs="宋体"/>
          <w:sz w:val="24"/>
        </w:rPr>
        <w:t>144</w:t>
      </w:r>
      <w:r>
        <w:rPr>
          <w:rFonts w:hint="eastAsia" w:ascii="宋体" w:hAnsi="宋体" w:eastAsia="宋体" w:cs="宋体"/>
          <w:sz w:val="24"/>
        </w:rPr>
        <w:t>学时，</w:t>
      </w:r>
      <w:r>
        <w:rPr>
          <w:rFonts w:ascii="宋体" w:hAnsi="宋体" w:eastAsia="宋体" w:cs="宋体"/>
          <w:sz w:val="24"/>
        </w:rPr>
        <w:t>8</w:t>
      </w:r>
      <w:r>
        <w:rPr>
          <w:rFonts w:hint="eastAsia" w:ascii="宋体" w:hAnsi="宋体" w:eastAsia="宋体" w:cs="宋体"/>
          <w:sz w:val="24"/>
        </w:rPr>
        <w:t>学分。</w:t>
      </w:r>
    </w:p>
    <w:p w14:paraId="7A793C7D">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三、课程设计思路</w:t>
      </w:r>
    </w:p>
    <w:p w14:paraId="6CF0F39C">
      <w:pPr>
        <w:topLinePunct/>
        <w:ind w:firstLine="480" w:firstLineChars="200"/>
        <w:jc w:val="both"/>
        <w:rPr>
          <w:rFonts w:ascii="宋体" w:hAnsi="宋体" w:cs="Arial Unicode MS"/>
          <w:sz w:val="24"/>
        </w:rPr>
      </w:pPr>
      <w:r>
        <w:rPr>
          <w:rFonts w:hint="eastAsia" w:ascii="宋体" w:hAnsi="宋体" w:eastAsia="宋体" w:cs="宋体"/>
          <w:sz w:val="24"/>
        </w:rPr>
        <w:t>本课程按照立德树人根本任务要求，突出专业核心素养、必备品格和关键能力，兼顾中高职课程衔接，高度融合韩</w:t>
      </w:r>
      <w:r>
        <w:rPr>
          <w:rFonts w:hint="eastAsia" w:ascii="宋体" w:hAnsi="宋体" w:cs="宋体"/>
          <w:sz w:val="24"/>
        </w:rPr>
        <w:t>语商务类文件阅读及综合运用的知识技能学习和职业精神培养。</w:t>
      </w:r>
    </w:p>
    <w:p w14:paraId="30F4121A">
      <w:pPr>
        <w:topLinePunct/>
        <w:ind w:firstLine="480" w:firstLineChars="200"/>
        <w:jc w:val="both"/>
        <w:rPr>
          <w:rFonts w:ascii="宋体" w:hAnsi="宋体" w:eastAsia="宋体" w:cs="宋体"/>
          <w:sz w:val="24"/>
        </w:rPr>
      </w:pPr>
      <w:r>
        <w:rPr>
          <w:rFonts w:hint="eastAsia" w:ascii="宋体" w:hAnsi="宋体" w:eastAsia="宋体" w:cs="宋体"/>
          <w:sz w:val="24"/>
        </w:rPr>
        <w:t>1.依据《江苏省中等职业学校国际贸易类商务韩语专业指导性人才培养方案》中确定的培养目标、综合素质、职业能力，按照知识与技能、过程与方法、情感态度与价值观三个维度，突出韩语商务类文件阅读与综合运用等</w:t>
      </w:r>
      <w:r>
        <w:rPr>
          <w:rFonts w:hint="eastAsia" w:ascii="宋体" w:hAnsi="宋体" w:cs="宋体"/>
          <w:sz w:val="24"/>
        </w:rPr>
        <w:t>能力</w:t>
      </w:r>
      <w:r>
        <w:rPr>
          <w:rFonts w:hint="eastAsia" w:ascii="宋体" w:hAnsi="宋体" w:eastAsia="宋体" w:cs="宋体"/>
          <w:sz w:val="24"/>
        </w:rPr>
        <w:t>的培养，结合本课程的性质和职业教育课程教学的最新理念，确定本课程目标。</w:t>
      </w:r>
    </w:p>
    <w:p w14:paraId="71AC7B82">
      <w:pPr>
        <w:topLinePunct/>
        <w:ind w:firstLine="480" w:firstLineChars="200"/>
        <w:jc w:val="both"/>
        <w:rPr>
          <w:rFonts w:ascii="宋体" w:hAnsi="宋体" w:eastAsia="宋体" w:cs="宋体"/>
          <w:sz w:val="24"/>
        </w:rPr>
      </w:pPr>
      <w:r>
        <w:rPr>
          <w:rFonts w:hint="eastAsia" w:ascii="宋体" w:hAnsi="宋体" w:eastAsia="宋体" w:cs="宋体"/>
          <w:sz w:val="24"/>
        </w:rPr>
        <w:t>2.根据“江苏省中等职业学校商务韩语专业‘工作任务与职业能力’分析表”，依据课程目标和</w:t>
      </w:r>
      <w:r>
        <w:rPr>
          <w:rFonts w:hint="eastAsia" w:ascii="宋体" w:hAnsi="宋体" w:eastAsia="宋体"/>
          <w:sz w:val="24"/>
          <w:szCs w:val="24"/>
        </w:rPr>
        <w:t>企业商务类</w:t>
      </w:r>
      <w:r>
        <w:rPr>
          <w:rFonts w:hint="eastAsia" w:ascii="宋体" w:hAnsi="宋体" w:eastAsia="宋体" w:cs="宋体"/>
          <w:sz w:val="24"/>
        </w:rPr>
        <w:t>等工作的岗位需求，围绕</w:t>
      </w:r>
      <w:r>
        <w:rPr>
          <w:rFonts w:hint="eastAsia" w:ascii="宋体" w:hAnsi="宋体" w:eastAsia="宋体"/>
          <w:sz w:val="24"/>
          <w:szCs w:val="24"/>
        </w:rPr>
        <w:t>企业环境中文秘和外贸岗位所需要的</w:t>
      </w:r>
      <w:r>
        <w:rPr>
          <w:rFonts w:hint="eastAsia" w:ascii="宋体" w:hAnsi="宋体" w:eastAsia="宋体" w:cs="宋体"/>
          <w:sz w:val="24"/>
        </w:rPr>
        <w:t>关键能力，反映韩语商务文件阅读与处理工作的实际，体现科学性、适用性原则，确定本课程内容。</w:t>
      </w:r>
    </w:p>
    <w:p w14:paraId="0BAB21E3">
      <w:pPr>
        <w:topLinePunct/>
        <w:ind w:firstLine="480" w:firstLineChars="200"/>
        <w:jc w:val="both"/>
        <w:rPr>
          <w:rFonts w:ascii="宋体" w:hAnsi="宋体" w:eastAsia="宋体" w:cs="宋体"/>
          <w:sz w:val="24"/>
        </w:rPr>
      </w:pPr>
      <w:r>
        <w:rPr>
          <w:rFonts w:hint="eastAsia" w:ascii="宋体" w:hAnsi="宋体" w:eastAsia="宋体" w:cs="宋体"/>
          <w:sz w:val="24"/>
        </w:rPr>
        <w:t>3.以“日常阅读、泛读技巧、精读技巧、商务阅读”为主线，设置模块</w:t>
      </w:r>
      <w:r>
        <w:rPr>
          <w:rFonts w:ascii="宋体" w:hAnsi="宋体" w:eastAsia="宋体" w:cs="宋体"/>
          <w:sz w:val="24"/>
        </w:rPr>
        <w:t>和教学单元</w:t>
      </w:r>
      <w:r>
        <w:rPr>
          <w:rFonts w:hint="eastAsia" w:ascii="宋体" w:hAnsi="宋体" w:eastAsia="宋体" w:cs="宋体"/>
          <w:sz w:val="24"/>
        </w:rPr>
        <w:t>，将韩语商务类信函及文件综合处理的基础知识、基本技能和职业素养有机融入，遵循学生认知规律，结合学生的生活经验，确定学习内容的顺序。</w:t>
      </w:r>
    </w:p>
    <w:p w14:paraId="34D5A4C8">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四、课程目标</w:t>
      </w:r>
    </w:p>
    <w:p w14:paraId="4BA5BDF9">
      <w:pPr>
        <w:topLinePunct/>
        <w:ind w:firstLine="480" w:firstLineChars="200"/>
        <w:jc w:val="both"/>
        <w:rPr>
          <w:rFonts w:ascii="宋体" w:hAnsi="宋体" w:eastAsia="宋体" w:cs="宋体"/>
          <w:sz w:val="24"/>
        </w:rPr>
      </w:pPr>
      <w:r>
        <w:rPr>
          <w:rFonts w:hint="eastAsia" w:ascii="宋体" w:hAnsi="宋体" w:eastAsia="宋体" w:cs="宋体"/>
          <w:sz w:val="24"/>
        </w:rPr>
        <w:t>学生通过学习本课程，</w:t>
      </w:r>
      <w:r>
        <w:rPr>
          <w:rFonts w:hint="eastAsia" w:ascii="宋体" w:hAnsi="宋体" w:cs="Times New Roman"/>
          <w:color w:val="000000" w:themeColor="text1"/>
          <w:sz w:val="24"/>
          <w14:textFill>
            <w14:solidFill>
              <w14:schemeClr w14:val="tx1"/>
            </w14:solidFill>
          </w14:textFill>
        </w:rPr>
        <w:t>掌握韩语语法规则和基本商务句型，习得精度和泛读技巧，能分析文章段落，快速抓取文章关键信息，理解基础的商务韩语文件，能在真实的韩语环境中形成商务行文思维，初步具备良好的职业素养</w:t>
      </w:r>
      <w:r>
        <w:rPr>
          <w:rFonts w:hint="eastAsia" w:ascii="宋体" w:hAnsi="宋体" w:eastAsia="宋体" w:cs="宋体"/>
          <w:sz w:val="24"/>
        </w:rPr>
        <w:t>。</w:t>
      </w:r>
    </w:p>
    <w:p w14:paraId="16264D2D">
      <w:pPr>
        <w:topLinePunct/>
        <w:ind w:firstLine="480" w:firstLineChars="200"/>
        <w:jc w:val="both"/>
        <w:rPr>
          <w:rFonts w:ascii="宋体" w:hAnsi="宋体" w:eastAsia="宋体" w:cs="宋体"/>
          <w:sz w:val="24"/>
        </w:rPr>
      </w:pPr>
      <w:r>
        <w:rPr>
          <w:rFonts w:hint="eastAsia" w:ascii="宋体" w:hAnsi="宋体" w:eastAsia="宋体" w:cs="宋体"/>
          <w:sz w:val="24"/>
        </w:rPr>
        <w:t>1.</w:t>
      </w:r>
      <w:r>
        <w:rPr>
          <w:rFonts w:hint="eastAsia" w:ascii="宋体" w:hAnsi="宋体" w:eastAsia="宋体"/>
          <w:sz w:val="24"/>
          <w:szCs w:val="24"/>
        </w:rPr>
        <w:t>掌握韩语基本语法知识，以及与日常主题相关的韩语基础词汇和句型结构，能正确造句。</w:t>
      </w:r>
    </w:p>
    <w:p w14:paraId="33D07167">
      <w:pPr>
        <w:topLinePunct/>
        <w:ind w:firstLine="480" w:firstLineChars="200"/>
        <w:jc w:val="both"/>
        <w:rPr>
          <w:rFonts w:ascii="宋体" w:hAnsi="宋体" w:eastAsia="宋体" w:cs="宋体"/>
          <w:sz w:val="24"/>
        </w:rPr>
      </w:pPr>
      <w:r>
        <w:rPr>
          <w:rFonts w:hint="eastAsia" w:ascii="宋体" w:hAnsi="宋体" w:eastAsia="宋体" w:cs="宋体"/>
          <w:sz w:val="24"/>
        </w:rPr>
        <w:t>2.掌握韩语阅读的基本方法和技巧，</w:t>
      </w:r>
      <w:r>
        <w:rPr>
          <w:rFonts w:hint="eastAsia" w:ascii="宋体" w:hAnsi="宋体" w:eastAsia="宋体"/>
          <w:sz w:val="24"/>
          <w:szCs w:val="24"/>
        </w:rPr>
        <w:t>能看懂日常的报刊文章、信息型文本、表格、电子邮件、长广告等</w:t>
      </w:r>
      <w:r>
        <w:rPr>
          <w:rFonts w:hint="eastAsia" w:ascii="宋体" w:hAnsi="宋体" w:eastAsia="宋体" w:cs="宋体"/>
          <w:sz w:val="24"/>
        </w:rPr>
        <w:t>。</w:t>
      </w:r>
    </w:p>
    <w:p w14:paraId="479B5EE6">
      <w:pPr>
        <w:topLinePunct/>
        <w:ind w:firstLine="480" w:firstLineChars="200"/>
        <w:jc w:val="both"/>
        <w:rPr>
          <w:rFonts w:ascii="宋体" w:hAnsi="宋体" w:eastAsia="宋体" w:cs="宋体"/>
          <w:sz w:val="24"/>
        </w:rPr>
      </w:pPr>
      <w:r>
        <w:rPr>
          <w:rFonts w:hint="eastAsia" w:ascii="宋体" w:hAnsi="宋体" w:eastAsia="宋体" w:cs="宋体"/>
          <w:sz w:val="24"/>
        </w:rPr>
        <w:t>3.</w:t>
      </w:r>
      <w:r>
        <w:rPr>
          <w:rFonts w:ascii="宋体" w:hAnsi="宋体" w:eastAsia="宋体"/>
          <w:sz w:val="24"/>
          <w:szCs w:val="24"/>
        </w:rPr>
        <w:t>了解</w:t>
      </w:r>
      <w:r>
        <w:rPr>
          <w:rFonts w:hint="eastAsia" w:ascii="宋体" w:hAnsi="宋体" w:eastAsia="宋体"/>
          <w:sz w:val="24"/>
          <w:szCs w:val="24"/>
        </w:rPr>
        <w:t>各体裁商务文件</w:t>
      </w:r>
      <w:r>
        <w:rPr>
          <w:rFonts w:ascii="宋体" w:hAnsi="宋体" w:eastAsia="宋体"/>
          <w:sz w:val="24"/>
          <w:szCs w:val="24"/>
        </w:rPr>
        <w:t>的主要内容、流程、特点和书写格式</w:t>
      </w:r>
      <w:r>
        <w:rPr>
          <w:rFonts w:hint="eastAsia" w:ascii="宋体" w:hAnsi="宋体" w:eastAsia="宋体"/>
          <w:sz w:val="24"/>
          <w:szCs w:val="24"/>
        </w:rPr>
        <w:t>，</w:t>
      </w:r>
      <w:r>
        <w:rPr>
          <w:rFonts w:hint="eastAsia" w:ascii="宋体" w:hAnsi="宋体" w:eastAsia="宋体" w:cs="宋体"/>
          <w:sz w:val="24"/>
        </w:rPr>
        <w:t>能基本读懂国际商务活动相关的韩语材料，并通过阅读获取所需信息。具有初步的文书处理能力，能阅读并撰写基础的商务函电、会议纪要，看懂简单的外贸文件等。</w:t>
      </w:r>
    </w:p>
    <w:p w14:paraId="5388AFD9">
      <w:pPr>
        <w:widowControl w:val="0"/>
        <w:topLinePunct/>
        <w:ind w:firstLine="480" w:firstLineChars="200"/>
        <w:jc w:val="both"/>
        <w:rPr>
          <w:rFonts w:ascii="宋体" w:hAnsi="宋体" w:eastAsia="宋体" w:cs="宋体"/>
          <w:sz w:val="24"/>
        </w:rPr>
      </w:pPr>
      <w:r>
        <w:rPr>
          <w:rFonts w:hint="eastAsia" w:ascii="宋体" w:hAnsi="宋体" w:eastAsia="宋体" w:cs="宋体"/>
          <w:sz w:val="24"/>
        </w:rPr>
        <w:t>4.</w:t>
      </w:r>
      <w:r>
        <w:rPr>
          <w:rFonts w:hint="eastAsia" w:cs="宋体" w:asciiTheme="minorEastAsia" w:hAnsiTheme="minorEastAsia"/>
          <w:sz w:val="24"/>
        </w:rPr>
        <w:t>了解韩国商务文化以及韩资企业文化的内涵，</w:t>
      </w:r>
      <w:r>
        <w:rPr>
          <w:rFonts w:hint="eastAsia" w:ascii="宋体" w:hAnsi="宋体" w:eastAsia="宋体" w:cs="宋体"/>
          <w:sz w:val="24"/>
        </w:rPr>
        <w:t>能恰当得体地进行商务往来。</w:t>
      </w:r>
    </w:p>
    <w:p w14:paraId="54906463">
      <w:pPr>
        <w:widowControl w:val="0"/>
        <w:topLinePunct/>
        <w:ind w:firstLine="480" w:firstLineChars="200"/>
        <w:jc w:val="both"/>
        <w:rPr>
          <w:rFonts w:ascii="宋体" w:hAnsi="宋体" w:eastAsia="宋体" w:cs="宋体"/>
          <w:sz w:val="24"/>
        </w:rPr>
      </w:pPr>
      <w:r>
        <w:rPr>
          <w:rFonts w:hint="eastAsia" w:ascii="宋体" w:hAnsi="宋体" w:eastAsia="宋体" w:cs="宋体"/>
          <w:sz w:val="24"/>
        </w:rPr>
        <w:t>5.</w:t>
      </w:r>
      <w:r>
        <w:rPr>
          <w:rFonts w:hint="eastAsia" w:ascii="宋体" w:hAnsi="宋体" w:eastAsia="宋体"/>
          <w:sz w:val="24"/>
          <w:szCs w:val="24"/>
        </w:rPr>
        <w:t>具备基本的跨文化思维和跨文化交际能力</w:t>
      </w:r>
      <w:r>
        <w:rPr>
          <w:rFonts w:hint="eastAsia" w:cs="宋体" w:asciiTheme="minorEastAsia" w:hAnsiTheme="minorEastAsia"/>
          <w:sz w:val="24"/>
        </w:rPr>
        <w:t>，</w:t>
      </w:r>
      <w:r>
        <w:rPr>
          <w:rFonts w:hint="eastAsia" w:ascii="宋体" w:hAnsi="宋体" w:eastAsia="宋体"/>
          <w:sz w:val="24"/>
          <w:szCs w:val="24"/>
        </w:rPr>
        <w:t>具备</w:t>
      </w:r>
      <w:r>
        <w:rPr>
          <w:rFonts w:ascii="宋体" w:hAnsi="宋体" w:eastAsia="宋体"/>
          <w:sz w:val="24"/>
          <w:szCs w:val="24"/>
        </w:rPr>
        <w:t>团队合作精神和人际沟通能力</w:t>
      </w:r>
      <w:r>
        <w:rPr>
          <w:rFonts w:hint="eastAsia" w:ascii="宋体" w:hAnsi="宋体" w:eastAsia="宋体"/>
          <w:sz w:val="24"/>
          <w:szCs w:val="24"/>
        </w:rPr>
        <w:t>，</w:t>
      </w:r>
      <w:r>
        <w:rPr>
          <w:rFonts w:hint="eastAsia" w:cs="宋体" w:asciiTheme="minorEastAsia" w:hAnsiTheme="minorEastAsia"/>
          <w:sz w:val="24"/>
        </w:rPr>
        <w:t>具备一定的岗位责任意识和独立自强的职业态度。</w:t>
      </w:r>
    </w:p>
    <w:p w14:paraId="6EA51BFC">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五、课程内容与要求</w:t>
      </w:r>
    </w:p>
    <w:tbl>
      <w:tblPr>
        <w:tblStyle w:val="10"/>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701"/>
        <w:gridCol w:w="4653"/>
        <w:gridCol w:w="709"/>
      </w:tblGrid>
      <w:tr w14:paraId="24165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296" w:type="dxa"/>
            <w:vAlign w:val="center"/>
          </w:tcPr>
          <w:p w14:paraId="541E8E55">
            <w:pPr>
              <w:topLinePunct/>
              <w:contextualSpacing/>
              <w:jc w:val="center"/>
              <w:rPr>
                <w:rFonts w:ascii="宋体" w:hAnsi="宋体" w:eastAsia="宋体" w:cs="宋体"/>
                <w:sz w:val="24"/>
              </w:rPr>
            </w:pPr>
            <w:r>
              <w:rPr>
                <w:rFonts w:hint="eastAsia" w:ascii="宋体" w:hAnsi="宋体" w:eastAsia="宋体" w:cs="宋体"/>
                <w:b/>
                <w:bCs/>
                <w:kern w:val="0"/>
                <w:sz w:val="24"/>
              </w:rPr>
              <w:t>模块</w:t>
            </w:r>
          </w:p>
        </w:tc>
        <w:tc>
          <w:tcPr>
            <w:tcW w:w="1701" w:type="dxa"/>
            <w:vAlign w:val="center"/>
          </w:tcPr>
          <w:p w14:paraId="2697CB7A">
            <w:pPr>
              <w:topLinePunct/>
              <w:contextualSpacing/>
              <w:jc w:val="center"/>
              <w:rPr>
                <w:rFonts w:ascii="宋体" w:hAnsi="宋体" w:eastAsia="宋体" w:cs="宋体"/>
                <w:sz w:val="24"/>
              </w:rPr>
            </w:pPr>
            <w:r>
              <w:rPr>
                <w:rFonts w:hint="eastAsia" w:ascii="宋体" w:hAnsi="宋体" w:eastAsia="宋体" w:cs="宋体"/>
                <w:b/>
                <w:bCs/>
                <w:kern w:val="0"/>
                <w:sz w:val="24"/>
              </w:rPr>
              <w:t>教学单元</w:t>
            </w:r>
          </w:p>
        </w:tc>
        <w:tc>
          <w:tcPr>
            <w:tcW w:w="4653" w:type="dxa"/>
            <w:vAlign w:val="center"/>
          </w:tcPr>
          <w:p w14:paraId="6981F203">
            <w:pPr>
              <w:topLinePunct/>
              <w:contextualSpacing/>
              <w:jc w:val="center"/>
              <w:rPr>
                <w:rFonts w:ascii="宋体" w:hAnsi="宋体" w:eastAsia="宋体" w:cs="宋体"/>
                <w:sz w:val="24"/>
              </w:rPr>
            </w:pPr>
            <w:r>
              <w:rPr>
                <w:rFonts w:hint="eastAsia" w:ascii="宋体" w:hAnsi="宋体" w:eastAsia="宋体" w:cs="宋体"/>
                <w:b/>
                <w:bCs/>
                <w:kern w:val="0"/>
                <w:sz w:val="24"/>
              </w:rPr>
              <w:t>内容及要求</w:t>
            </w:r>
          </w:p>
        </w:tc>
        <w:tc>
          <w:tcPr>
            <w:tcW w:w="709" w:type="dxa"/>
            <w:vAlign w:val="center"/>
          </w:tcPr>
          <w:p w14:paraId="6B48036D">
            <w:pPr>
              <w:topLinePunct/>
              <w:contextualSpacing/>
              <w:jc w:val="center"/>
              <w:rPr>
                <w:rFonts w:ascii="宋体" w:hAnsi="宋体" w:eastAsia="宋体" w:cs="宋体"/>
                <w:sz w:val="24"/>
              </w:rPr>
            </w:pPr>
            <w:r>
              <w:rPr>
                <w:rFonts w:hint="eastAsia" w:ascii="宋体" w:hAnsi="宋体" w:eastAsia="宋体" w:cs="宋体"/>
                <w:b/>
                <w:bCs/>
                <w:kern w:val="0"/>
                <w:sz w:val="24"/>
              </w:rPr>
              <w:t>参考学时</w:t>
            </w:r>
          </w:p>
        </w:tc>
      </w:tr>
      <w:tr w14:paraId="5F707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46464670">
            <w:pPr>
              <w:topLinePunct/>
              <w:jc w:val="center"/>
              <w:rPr>
                <w:rFonts w:ascii="宋体" w:hAnsi="宋体" w:eastAsia="宋体" w:cs="宋体"/>
                <w:sz w:val="24"/>
              </w:rPr>
            </w:pPr>
            <w:r>
              <w:rPr>
                <w:rFonts w:hint="eastAsia" w:ascii="宋体" w:hAnsi="宋体" w:eastAsia="宋体" w:cs="宋体"/>
                <w:sz w:val="24"/>
                <w:szCs w:val="24"/>
              </w:rPr>
              <w:t>韩语基础语法及日常阅读</w:t>
            </w:r>
          </w:p>
        </w:tc>
        <w:tc>
          <w:tcPr>
            <w:tcW w:w="1701" w:type="dxa"/>
            <w:vAlign w:val="center"/>
          </w:tcPr>
          <w:p w14:paraId="5F1A207E">
            <w:pPr>
              <w:topLinePunct/>
              <w:jc w:val="center"/>
              <w:rPr>
                <w:rFonts w:ascii="宋体" w:hAnsi="宋体" w:eastAsia="宋体" w:cs="宋体"/>
                <w:sz w:val="24"/>
              </w:rPr>
            </w:pPr>
            <w:r>
              <w:rPr>
                <w:rFonts w:hint="eastAsia" w:ascii="宋体" w:hAnsi="宋体" w:eastAsia="宋体" w:cs="宋体"/>
                <w:sz w:val="24"/>
              </w:rPr>
              <w:t>韩语词汇</w:t>
            </w:r>
          </w:p>
        </w:tc>
        <w:tc>
          <w:tcPr>
            <w:tcW w:w="4653" w:type="dxa"/>
            <w:vAlign w:val="center"/>
          </w:tcPr>
          <w:p w14:paraId="0D8A6A18">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掌握韩语40个基本发音，包括元音、辅音和变音规则，基础的词汇及其语法规则（特别是韩语中尊敬语的使用特点）；</w:t>
            </w:r>
          </w:p>
          <w:p w14:paraId="30DF65E6">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掌握时态的基本变化(过去、现在和将来），熟悉</w:t>
            </w:r>
            <w:r>
              <w:rPr>
                <w:rFonts w:ascii="宋体" w:hAnsi="宋体" w:eastAsia="宋体" w:cs="宋体"/>
                <w:color w:val="000000" w:themeColor="text1"/>
                <w:sz w:val="24"/>
                <w:szCs w:val="24"/>
                <w14:textFill>
                  <w14:solidFill>
                    <w14:schemeClr w14:val="tx1"/>
                  </w14:solidFill>
                </w14:textFill>
              </w:rPr>
              <w:t>动词</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形容词</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名词、冠词、代词、副词</w:t>
            </w:r>
            <w:bookmarkStart w:id="3" w:name="_GoBack"/>
            <w:bookmarkEnd w:id="3"/>
            <w:r>
              <w:rPr>
                <w:rFonts w:ascii="宋体" w:hAnsi="宋体" w:eastAsia="宋体" w:cs="宋体"/>
                <w:color w:val="000000" w:themeColor="text1"/>
                <w:sz w:val="24"/>
                <w:szCs w:val="24"/>
                <w14:textFill>
                  <w14:solidFill>
                    <w14:schemeClr w14:val="tx1"/>
                  </w14:solidFill>
                </w14:textFill>
              </w:rPr>
              <w:t>等的变化和用法</w:t>
            </w:r>
          </w:p>
        </w:tc>
        <w:tc>
          <w:tcPr>
            <w:tcW w:w="709" w:type="dxa"/>
            <w:vMerge w:val="restart"/>
            <w:vAlign w:val="center"/>
          </w:tcPr>
          <w:p w14:paraId="472B9BB5">
            <w:pPr>
              <w:topLinePunct/>
              <w:jc w:val="center"/>
              <w:rPr>
                <w:rFonts w:ascii="宋体" w:hAnsi="宋体" w:eastAsia="宋体" w:cs="宋体"/>
                <w:sz w:val="24"/>
              </w:rPr>
            </w:pPr>
            <w:r>
              <w:rPr>
                <w:rFonts w:hint="eastAsia" w:ascii="宋体" w:hAnsi="宋体" w:eastAsia="宋体" w:cs="宋体"/>
                <w:sz w:val="24"/>
              </w:rPr>
              <w:t>7</w:t>
            </w:r>
            <w:r>
              <w:rPr>
                <w:rFonts w:ascii="宋体" w:hAnsi="宋体" w:eastAsia="宋体" w:cs="宋体"/>
                <w:sz w:val="24"/>
              </w:rPr>
              <w:t>2</w:t>
            </w:r>
          </w:p>
        </w:tc>
      </w:tr>
      <w:tr w14:paraId="3E32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245FC01D">
            <w:pPr>
              <w:topLinePunct/>
              <w:jc w:val="center"/>
              <w:rPr>
                <w:rFonts w:ascii="宋体" w:hAnsi="宋体" w:eastAsia="宋体" w:cs="宋体"/>
                <w:sz w:val="24"/>
              </w:rPr>
            </w:pPr>
          </w:p>
        </w:tc>
        <w:tc>
          <w:tcPr>
            <w:tcW w:w="1701" w:type="dxa"/>
            <w:vAlign w:val="center"/>
          </w:tcPr>
          <w:p w14:paraId="72C0D32E">
            <w:pPr>
              <w:jc w:val="center"/>
              <w:rPr>
                <w:sz w:val="24"/>
                <w:szCs w:val="24"/>
              </w:rPr>
            </w:pPr>
            <w:r>
              <w:rPr>
                <w:rFonts w:hint="eastAsia"/>
                <w:sz w:val="24"/>
                <w:szCs w:val="24"/>
              </w:rPr>
              <w:t>韩语句法</w:t>
            </w:r>
          </w:p>
        </w:tc>
        <w:tc>
          <w:tcPr>
            <w:tcW w:w="4653" w:type="dxa"/>
            <w:vAlign w:val="center"/>
          </w:tcPr>
          <w:p w14:paraId="36B680DC">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1.掌握韩语基本句型结构：“主-宾-谓”结构，了解一般韩语句式的特点和基本使用方法；</w:t>
            </w:r>
          </w:p>
          <w:p w14:paraId="2AA3A053">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能正确运用基本的语法进行基础造句</w:t>
            </w:r>
          </w:p>
        </w:tc>
        <w:tc>
          <w:tcPr>
            <w:tcW w:w="709" w:type="dxa"/>
            <w:vMerge w:val="continue"/>
            <w:vAlign w:val="center"/>
          </w:tcPr>
          <w:p w14:paraId="5BDF2DDD">
            <w:pPr>
              <w:topLinePunct/>
              <w:ind w:firstLine="480" w:firstLineChars="200"/>
              <w:jc w:val="center"/>
              <w:rPr>
                <w:rFonts w:ascii="宋体" w:hAnsi="宋体" w:eastAsia="宋体" w:cs="宋体"/>
                <w:sz w:val="24"/>
              </w:rPr>
            </w:pPr>
          </w:p>
        </w:tc>
      </w:tr>
      <w:tr w14:paraId="23D0B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6" w:hRule="atLeast"/>
          <w:jc w:val="center"/>
        </w:trPr>
        <w:tc>
          <w:tcPr>
            <w:tcW w:w="1296" w:type="dxa"/>
            <w:vMerge w:val="continue"/>
            <w:vAlign w:val="center"/>
          </w:tcPr>
          <w:p w14:paraId="68EA72CB">
            <w:pPr>
              <w:topLinePunct/>
              <w:jc w:val="center"/>
              <w:rPr>
                <w:rFonts w:ascii="宋体" w:hAnsi="宋体" w:eastAsia="宋体" w:cs="宋体"/>
                <w:sz w:val="24"/>
              </w:rPr>
            </w:pPr>
          </w:p>
        </w:tc>
        <w:tc>
          <w:tcPr>
            <w:tcW w:w="1701" w:type="dxa"/>
            <w:vAlign w:val="center"/>
          </w:tcPr>
          <w:p w14:paraId="0CA76B05">
            <w:pPr>
              <w:topLinePunct/>
              <w:jc w:val="center"/>
              <w:rPr>
                <w:rFonts w:ascii="宋体" w:hAnsi="宋体" w:eastAsia="宋体" w:cs="宋体"/>
                <w:sz w:val="24"/>
                <w:szCs w:val="24"/>
              </w:rPr>
            </w:pPr>
            <w:r>
              <w:rPr>
                <w:rFonts w:hint="eastAsia" w:ascii="宋体" w:hAnsi="宋体" w:eastAsia="宋体" w:cs="宋体"/>
                <w:sz w:val="24"/>
                <w:szCs w:val="24"/>
              </w:rPr>
              <w:t>个人信息</w:t>
            </w:r>
          </w:p>
        </w:tc>
        <w:tc>
          <w:tcPr>
            <w:tcW w:w="4653" w:type="dxa"/>
            <w:vAlign w:val="center"/>
          </w:tcPr>
          <w:p w14:paraId="19473585">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掌握</w:t>
            </w:r>
            <w:r>
              <w:rPr>
                <w:rFonts w:ascii="宋体" w:hAnsi="宋体" w:eastAsia="宋体" w:cs="宋体"/>
                <w:color w:val="000000" w:themeColor="text1"/>
                <w:sz w:val="24"/>
                <w:szCs w:val="24"/>
                <w14:textFill>
                  <w14:solidFill>
                    <w14:schemeClr w14:val="tx1"/>
                  </w14:solidFill>
                </w14:textFill>
              </w:rPr>
              <w:t>40</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50</w:t>
            </w:r>
            <w:r>
              <w:rPr>
                <w:rFonts w:hint="eastAsia" w:ascii="宋体" w:hAnsi="宋体" w:eastAsia="宋体" w:cs="宋体"/>
                <w:color w:val="000000" w:themeColor="text1"/>
                <w:sz w:val="24"/>
                <w:szCs w:val="24"/>
                <w14:textFill>
                  <w14:solidFill>
                    <w14:schemeClr w14:val="tx1"/>
                  </w14:solidFill>
                </w14:textFill>
              </w:rPr>
              <w:t>个与个人信息相关的词汇和句型；</w:t>
            </w:r>
          </w:p>
          <w:p w14:paraId="7475622B">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能看懂和撰写个人基本信息，如姓名、年龄、职业、国籍、居住地、兴趣爱好、语言能力等</w:t>
            </w:r>
          </w:p>
        </w:tc>
        <w:tc>
          <w:tcPr>
            <w:tcW w:w="709" w:type="dxa"/>
            <w:vMerge w:val="continue"/>
            <w:vAlign w:val="center"/>
          </w:tcPr>
          <w:p w14:paraId="0CA1A002">
            <w:pPr>
              <w:topLinePunct/>
              <w:jc w:val="center"/>
              <w:rPr>
                <w:rFonts w:ascii="宋体" w:hAnsi="宋体" w:eastAsia="宋体" w:cs="宋体"/>
                <w:sz w:val="24"/>
              </w:rPr>
            </w:pPr>
          </w:p>
        </w:tc>
      </w:tr>
      <w:tr w14:paraId="7E0C1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7C7FF46E">
            <w:pPr>
              <w:topLinePunct/>
              <w:jc w:val="center"/>
              <w:rPr>
                <w:rFonts w:ascii="宋体" w:hAnsi="宋体" w:eastAsia="宋体" w:cs="宋体"/>
                <w:sz w:val="24"/>
              </w:rPr>
            </w:pPr>
          </w:p>
        </w:tc>
        <w:tc>
          <w:tcPr>
            <w:tcW w:w="1701" w:type="dxa"/>
            <w:vAlign w:val="center"/>
          </w:tcPr>
          <w:p w14:paraId="2D45703D">
            <w:pPr>
              <w:topLinePunct/>
              <w:jc w:val="center"/>
              <w:rPr>
                <w:rFonts w:ascii="宋体" w:hAnsi="宋体" w:eastAsia="宋体" w:cs="宋体"/>
                <w:sz w:val="24"/>
              </w:rPr>
            </w:pPr>
            <w:r>
              <w:rPr>
                <w:rFonts w:hint="eastAsia" w:ascii="宋体" w:hAnsi="宋体" w:eastAsia="宋体" w:cs="宋体"/>
                <w:sz w:val="24"/>
                <w:szCs w:val="24"/>
              </w:rPr>
              <w:t>购物</w:t>
            </w:r>
          </w:p>
        </w:tc>
        <w:tc>
          <w:tcPr>
            <w:tcW w:w="4653" w:type="dxa"/>
            <w:vAlign w:val="center"/>
          </w:tcPr>
          <w:p w14:paraId="18D07439">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掌握基本量词和</w:t>
            </w:r>
            <w:r>
              <w:rPr>
                <w:rFonts w:ascii="宋体" w:hAnsi="宋体" w:eastAsia="宋体" w:cs="宋体"/>
                <w:color w:val="000000" w:themeColor="text1"/>
                <w:sz w:val="24"/>
                <w:szCs w:val="24"/>
                <w14:textFill>
                  <w14:solidFill>
                    <w14:schemeClr w14:val="tx1"/>
                  </w14:solidFill>
                </w14:textFill>
              </w:rPr>
              <w:t>40</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50</w:t>
            </w:r>
            <w:r>
              <w:rPr>
                <w:rFonts w:hint="eastAsia" w:ascii="宋体" w:hAnsi="宋体" w:eastAsia="宋体" w:cs="宋体"/>
                <w:color w:val="000000" w:themeColor="text1"/>
                <w:sz w:val="24"/>
                <w:szCs w:val="24"/>
                <w14:textFill>
                  <w14:solidFill>
                    <w14:schemeClr w14:val="tx1"/>
                  </w14:solidFill>
                </w14:textFill>
              </w:rPr>
              <w:t>个与采购相关的词汇；</w:t>
            </w:r>
          </w:p>
          <w:p w14:paraId="537D94C5">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熟悉与购物相关的句型，掌握数量词，如买什么、买多少、多少钱等；</w:t>
            </w:r>
          </w:p>
          <w:p w14:paraId="4E0968F7">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能看懂并撰写采购相关的简单对话</w:t>
            </w:r>
          </w:p>
        </w:tc>
        <w:tc>
          <w:tcPr>
            <w:tcW w:w="709" w:type="dxa"/>
            <w:vMerge w:val="continue"/>
            <w:vAlign w:val="center"/>
          </w:tcPr>
          <w:p w14:paraId="5BDBC428">
            <w:pPr>
              <w:topLinePunct/>
              <w:jc w:val="center"/>
              <w:rPr>
                <w:rFonts w:ascii="宋体" w:hAnsi="宋体" w:eastAsia="宋体" w:cs="宋体"/>
                <w:sz w:val="24"/>
              </w:rPr>
            </w:pPr>
          </w:p>
        </w:tc>
      </w:tr>
      <w:tr w14:paraId="2C9EC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0081D987">
            <w:pPr>
              <w:topLinePunct/>
              <w:jc w:val="center"/>
              <w:rPr>
                <w:rFonts w:ascii="宋体" w:hAnsi="宋体" w:eastAsia="宋体" w:cs="宋体"/>
                <w:sz w:val="24"/>
              </w:rPr>
            </w:pPr>
          </w:p>
        </w:tc>
        <w:tc>
          <w:tcPr>
            <w:tcW w:w="1701" w:type="dxa"/>
            <w:vAlign w:val="center"/>
          </w:tcPr>
          <w:p w14:paraId="7C534778">
            <w:pPr>
              <w:topLinePunct/>
              <w:jc w:val="center"/>
              <w:rPr>
                <w:rFonts w:ascii="宋体" w:hAnsi="宋体" w:eastAsia="宋体" w:cs="宋体"/>
                <w:sz w:val="24"/>
              </w:rPr>
            </w:pPr>
            <w:r>
              <w:rPr>
                <w:rFonts w:hint="eastAsia" w:ascii="宋体" w:hAnsi="宋体" w:eastAsia="宋体" w:cs="宋体"/>
                <w:sz w:val="24"/>
                <w:szCs w:val="24"/>
              </w:rPr>
              <w:t>衣</w:t>
            </w:r>
          </w:p>
        </w:tc>
        <w:tc>
          <w:tcPr>
            <w:tcW w:w="4653" w:type="dxa"/>
            <w:vAlign w:val="center"/>
          </w:tcPr>
          <w:p w14:paraId="7D3DE71B">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掌握与衣服、颜色、服装尺寸等相关的词汇和句型；</w:t>
            </w:r>
          </w:p>
          <w:p w14:paraId="5D53FB7B">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能读懂和编写服装喜好、采购相关的小短文</w:t>
            </w:r>
          </w:p>
        </w:tc>
        <w:tc>
          <w:tcPr>
            <w:tcW w:w="709" w:type="dxa"/>
            <w:vMerge w:val="continue"/>
            <w:vAlign w:val="center"/>
          </w:tcPr>
          <w:p w14:paraId="663352CB">
            <w:pPr>
              <w:topLinePunct/>
              <w:jc w:val="center"/>
              <w:rPr>
                <w:rFonts w:ascii="宋体" w:hAnsi="宋体" w:eastAsia="宋体" w:cs="宋体"/>
                <w:sz w:val="24"/>
              </w:rPr>
            </w:pPr>
          </w:p>
        </w:tc>
      </w:tr>
      <w:tr w14:paraId="509F1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1296" w:type="dxa"/>
            <w:vMerge w:val="continue"/>
            <w:vAlign w:val="center"/>
          </w:tcPr>
          <w:p w14:paraId="4EE91834">
            <w:pPr>
              <w:topLinePunct/>
              <w:jc w:val="center"/>
              <w:rPr>
                <w:rFonts w:ascii="宋体" w:hAnsi="宋体" w:eastAsia="宋体" w:cs="宋体"/>
                <w:sz w:val="24"/>
              </w:rPr>
            </w:pPr>
          </w:p>
        </w:tc>
        <w:tc>
          <w:tcPr>
            <w:tcW w:w="1701" w:type="dxa"/>
            <w:vAlign w:val="center"/>
          </w:tcPr>
          <w:p w14:paraId="03201943">
            <w:pPr>
              <w:topLinePunct/>
              <w:jc w:val="center"/>
              <w:rPr>
                <w:rFonts w:cs="宋体" w:asciiTheme="minorEastAsia" w:hAnsiTheme="minorEastAsia"/>
                <w:sz w:val="24"/>
                <w:szCs w:val="24"/>
              </w:rPr>
            </w:pPr>
            <w:r>
              <w:rPr>
                <w:rFonts w:hint="eastAsia" w:cs="宋体" w:asciiTheme="minorEastAsia" w:hAnsiTheme="minorEastAsia"/>
                <w:sz w:val="24"/>
                <w:szCs w:val="24"/>
              </w:rPr>
              <w:t>食</w:t>
            </w:r>
          </w:p>
        </w:tc>
        <w:tc>
          <w:tcPr>
            <w:tcW w:w="4653" w:type="dxa"/>
            <w:vAlign w:val="center"/>
          </w:tcPr>
          <w:p w14:paraId="55CABDE0">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掌握最基本的与饮食相关的词汇和句型，并能简单实用；</w:t>
            </w:r>
          </w:p>
          <w:p w14:paraId="3C925DFB">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能懂简单的酒水单、餐单、菜谱和烹饪主题的小短文；</w:t>
            </w:r>
          </w:p>
          <w:p w14:paraId="6CAFB962">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能撰写餐饮主题的小对话</w:t>
            </w:r>
          </w:p>
        </w:tc>
        <w:tc>
          <w:tcPr>
            <w:tcW w:w="709" w:type="dxa"/>
            <w:vMerge w:val="continue"/>
            <w:vAlign w:val="center"/>
          </w:tcPr>
          <w:p w14:paraId="79713A0F">
            <w:pPr>
              <w:topLinePunct/>
              <w:jc w:val="center"/>
              <w:rPr>
                <w:rFonts w:ascii="宋体" w:hAnsi="宋体" w:eastAsia="宋体" w:cs="宋体"/>
                <w:sz w:val="24"/>
              </w:rPr>
            </w:pPr>
          </w:p>
        </w:tc>
      </w:tr>
      <w:tr w14:paraId="573C8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58D51C98">
            <w:pPr>
              <w:topLinePunct/>
              <w:jc w:val="center"/>
              <w:rPr>
                <w:rFonts w:ascii="宋体" w:hAnsi="宋体" w:eastAsia="宋体" w:cs="宋体"/>
                <w:sz w:val="24"/>
              </w:rPr>
            </w:pPr>
          </w:p>
        </w:tc>
        <w:tc>
          <w:tcPr>
            <w:tcW w:w="1701" w:type="dxa"/>
            <w:vAlign w:val="center"/>
          </w:tcPr>
          <w:p w14:paraId="13AEF1ED">
            <w:pPr>
              <w:topLinePunct/>
              <w:jc w:val="center"/>
              <w:rPr>
                <w:rFonts w:ascii="宋体" w:hAnsi="宋体" w:eastAsia="宋体" w:cs="宋体"/>
                <w:sz w:val="24"/>
              </w:rPr>
            </w:pPr>
            <w:r>
              <w:rPr>
                <w:rFonts w:hint="eastAsia" w:ascii="宋体" w:hAnsi="宋体" w:eastAsia="宋体" w:cs="宋体"/>
                <w:sz w:val="24"/>
                <w:szCs w:val="24"/>
              </w:rPr>
              <w:t>住</w:t>
            </w:r>
          </w:p>
        </w:tc>
        <w:tc>
          <w:tcPr>
            <w:tcW w:w="4653" w:type="dxa"/>
            <w:vAlign w:val="center"/>
          </w:tcPr>
          <w:p w14:paraId="3E0A6AEA">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1.掌握</w:t>
            </w:r>
            <w:r>
              <w:rPr>
                <w:rFonts w:ascii="宋体" w:hAnsi="宋体" w:eastAsia="宋体" w:cs="宋体"/>
                <w:color w:val="000000" w:themeColor="text1"/>
                <w:sz w:val="24"/>
                <w:szCs w:val="24"/>
                <w14:textFill>
                  <w14:solidFill>
                    <w14:schemeClr w14:val="tx1"/>
                  </w14:solidFill>
                </w14:textFill>
              </w:rPr>
              <w:t>40</w:t>
            </w:r>
            <w:r>
              <w:rPr>
                <w:rFonts w:hint="eastAsia"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50</w:t>
            </w:r>
            <w:r>
              <w:rPr>
                <w:rFonts w:hint="eastAsia" w:ascii="宋体" w:hAnsi="宋体" w:eastAsia="宋体" w:cs="宋体"/>
                <w:color w:val="000000" w:themeColor="text1"/>
                <w:sz w:val="24"/>
                <w:szCs w:val="24"/>
                <w14:textFill>
                  <w14:solidFill>
                    <w14:schemeClr w14:val="tx1"/>
                  </w14:solidFill>
                </w14:textFill>
              </w:rPr>
              <w:t>个与居住相关的词汇和句型，如居住地址、房型、房间和家具等；</w:t>
            </w:r>
          </w:p>
          <w:p w14:paraId="1B26F442">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.能简单描述和评论自己的居住情况，如地址、房屋、房间、家具、位置、状态等</w:t>
            </w:r>
          </w:p>
        </w:tc>
        <w:tc>
          <w:tcPr>
            <w:tcW w:w="709" w:type="dxa"/>
            <w:vMerge w:val="continue"/>
            <w:vAlign w:val="center"/>
          </w:tcPr>
          <w:p w14:paraId="37301557">
            <w:pPr>
              <w:topLinePunct/>
              <w:jc w:val="center"/>
              <w:rPr>
                <w:rFonts w:ascii="宋体" w:hAnsi="宋体" w:eastAsia="宋体" w:cs="宋体"/>
                <w:sz w:val="24"/>
              </w:rPr>
            </w:pPr>
          </w:p>
        </w:tc>
      </w:tr>
      <w:tr w14:paraId="3FCB4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77161754">
            <w:pPr>
              <w:topLinePunct/>
              <w:jc w:val="center"/>
              <w:rPr>
                <w:rFonts w:ascii="宋体" w:hAnsi="宋体" w:eastAsia="宋体" w:cs="宋体"/>
                <w:sz w:val="24"/>
              </w:rPr>
            </w:pPr>
          </w:p>
        </w:tc>
        <w:tc>
          <w:tcPr>
            <w:tcW w:w="1701" w:type="dxa"/>
            <w:vAlign w:val="center"/>
          </w:tcPr>
          <w:p w14:paraId="0339F6EB">
            <w:pPr>
              <w:topLinePunct/>
              <w:jc w:val="center"/>
              <w:rPr>
                <w:rFonts w:ascii="宋体" w:hAnsi="宋体" w:eastAsia="宋体" w:cs="宋体"/>
                <w:sz w:val="24"/>
              </w:rPr>
            </w:pPr>
            <w:r>
              <w:rPr>
                <w:rFonts w:hint="eastAsia" w:ascii="宋体" w:hAnsi="宋体" w:eastAsia="宋体" w:cs="宋体"/>
                <w:sz w:val="24"/>
              </w:rPr>
              <w:t>行</w:t>
            </w:r>
          </w:p>
        </w:tc>
        <w:tc>
          <w:tcPr>
            <w:tcW w:w="4653" w:type="dxa"/>
            <w:vAlign w:val="center"/>
          </w:tcPr>
          <w:p w14:paraId="0F95D94F">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1.掌握与出行相关的词汇和句型，能询问和回答场所的位置或去该场所的方法，如通勤工具、位置、问路、指路等；</w:t>
            </w:r>
          </w:p>
          <w:p w14:paraId="642D04C8">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.了解韩国的主要出行方式，如私家车、巴士、铁路、地铁、飞机等，能看懂相关时刻表；</w:t>
            </w:r>
          </w:p>
          <w:p w14:paraId="3831F2CE">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能撰写问路指路的小对话；</w:t>
            </w:r>
          </w:p>
          <w:p w14:paraId="2CE819E7">
            <w:pPr>
              <w:topLinePunct/>
              <w:ind w:left="240" w:hanging="240" w:hangingChars="100"/>
              <w:contextualSpacing/>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4.能明确指出对指定场所位置的介绍</w:t>
            </w:r>
          </w:p>
        </w:tc>
        <w:tc>
          <w:tcPr>
            <w:tcW w:w="709" w:type="dxa"/>
            <w:vMerge w:val="continue"/>
            <w:vAlign w:val="center"/>
          </w:tcPr>
          <w:p w14:paraId="160EFE28">
            <w:pPr>
              <w:topLinePunct/>
              <w:jc w:val="center"/>
              <w:rPr>
                <w:rFonts w:ascii="宋体" w:hAnsi="宋体" w:eastAsia="宋体" w:cs="宋体"/>
                <w:sz w:val="24"/>
              </w:rPr>
            </w:pPr>
          </w:p>
        </w:tc>
      </w:tr>
      <w:tr w14:paraId="40060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3C2DE7B2">
            <w:pPr>
              <w:topLinePunct/>
              <w:jc w:val="center"/>
              <w:rPr>
                <w:rFonts w:ascii="宋体" w:hAnsi="宋体" w:eastAsia="宋体" w:cs="宋体"/>
                <w:sz w:val="24"/>
              </w:rPr>
            </w:pPr>
            <w:r>
              <w:rPr>
                <w:rFonts w:hint="eastAsia" w:ascii="宋体" w:hAnsi="宋体" w:eastAsia="宋体" w:cs="宋体"/>
                <w:sz w:val="24"/>
              </w:rPr>
              <w:t>韩国商务文化</w:t>
            </w:r>
          </w:p>
        </w:tc>
        <w:tc>
          <w:tcPr>
            <w:tcW w:w="1701" w:type="dxa"/>
            <w:vAlign w:val="center"/>
          </w:tcPr>
          <w:p w14:paraId="025A20C2">
            <w:pPr>
              <w:topLinePunct/>
              <w:jc w:val="center"/>
              <w:rPr>
                <w:rFonts w:ascii="宋体" w:hAnsi="宋体" w:eastAsia="宋体" w:cs="宋体"/>
                <w:sz w:val="24"/>
              </w:rPr>
            </w:pPr>
            <w:r>
              <w:rPr>
                <w:rFonts w:hint="eastAsia" w:ascii="宋体" w:hAnsi="宋体" w:eastAsia="宋体" w:cs="宋体"/>
                <w:sz w:val="24"/>
              </w:rPr>
              <w:t>商务礼仪</w:t>
            </w:r>
          </w:p>
        </w:tc>
        <w:tc>
          <w:tcPr>
            <w:tcW w:w="4653" w:type="dxa"/>
            <w:vAlign w:val="center"/>
          </w:tcPr>
          <w:p w14:paraId="68B83DEE">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1.熟悉韩国商务社交礼仪，如握手、称呼和仪态方面；</w:t>
            </w:r>
          </w:p>
          <w:p w14:paraId="78C11161">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2.了解韩国商务往来中的服饰、餐饮及习俗禁忌</w:t>
            </w:r>
          </w:p>
        </w:tc>
        <w:tc>
          <w:tcPr>
            <w:tcW w:w="709" w:type="dxa"/>
            <w:vMerge w:val="restart"/>
            <w:vAlign w:val="center"/>
          </w:tcPr>
          <w:p w14:paraId="2D775419">
            <w:pPr>
              <w:topLinePunct/>
              <w:jc w:val="center"/>
              <w:rPr>
                <w:rFonts w:ascii="宋体" w:hAnsi="宋体" w:eastAsia="宋体" w:cs="宋体"/>
                <w:sz w:val="24"/>
              </w:rPr>
            </w:pPr>
            <w:r>
              <w:rPr>
                <w:rFonts w:ascii="宋体" w:hAnsi="宋体" w:eastAsia="宋体" w:cs="宋体"/>
                <w:sz w:val="24"/>
              </w:rPr>
              <w:t>8</w:t>
            </w:r>
          </w:p>
        </w:tc>
      </w:tr>
      <w:tr w14:paraId="4F5B5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59D55E77">
            <w:pPr>
              <w:topLinePunct/>
              <w:jc w:val="center"/>
              <w:rPr>
                <w:rFonts w:ascii="宋体" w:hAnsi="宋体" w:eastAsia="宋体" w:cs="宋体"/>
                <w:sz w:val="24"/>
              </w:rPr>
            </w:pPr>
          </w:p>
        </w:tc>
        <w:tc>
          <w:tcPr>
            <w:tcW w:w="1701" w:type="dxa"/>
            <w:vAlign w:val="center"/>
          </w:tcPr>
          <w:p w14:paraId="0E4E58F9">
            <w:pPr>
              <w:jc w:val="center"/>
            </w:pPr>
            <w:r>
              <w:rPr>
                <w:rFonts w:hint="eastAsia" w:ascii="宋体" w:hAnsi="宋体" w:eastAsia="宋体" w:cs="宋体"/>
                <w:sz w:val="24"/>
              </w:rPr>
              <w:t>韩企文化</w:t>
            </w:r>
          </w:p>
        </w:tc>
        <w:tc>
          <w:tcPr>
            <w:tcW w:w="4653" w:type="dxa"/>
            <w:vAlign w:val="center"/>
          </w:tcPr>
          <w:p w14:paraId="4D8F98C5">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ascii="宋体" w:hAnsi="宋体" w:eastAsia="宋体" w:cs="宋体"/>
                <w:color w:val="000000" w:themeColor="text1"/>
                <w:sz w:val="24"/>
                <w14:textFill>
                  <w14:solidFill>
                    <w14:schemeClr w14:val="tx1"/>
                  </w14:solidFill>
                </w14:textFill>
              </w:rPr>
              <w:t>.了解</w:t>
            </w:r>
            <w:r>
              <w:rPr>
                <w:rFonts w:hint="eastAsia" w:ascii="宋体" w:hAnsi="宋体" w:eastAsia="宋体" w:cs="宋体"/>
                <w:color w:val="000000" w:themeColor="text1"/>
                <w:sz w:val="24"/>
                <w14:textFill>
                  <w14:solidFill>
                    <w14:schemeClr w14:val="tx1"/>
                  </w14:solidFill>
                </w14:textFill>
              </w:rPr>
              <w:t>韩资企业基本的企业文化、办事风格和等级制度，</w:t>
            </w:r>
            <w:r>
              <w:rPr>
                <w:rFonts w:hint="eastAsia" w:ascii="宋体" w:hAnsi="宋体" w:eastAsia="宋体" w:cs="宋体"/>
                <w:color w:val="000000" w:themeColor="text1"/>
                <w:sz w:val="24"/>
                <w:szCs w:val="24"/>
                <w14:textFill>
                  <w14:solidFill>
                    <w14:schemeClr w14:val="tx1"/>
                  </w14:solidFill>
                </w14:textFill>
              </w:rPr>
              <w:t>掌握常用的韩国商务术语</w:t>
            </w:r>
            <w:r>
              <w:rPr>
                <w:rFonts w:hint="eastAsia" w:ascii="宋体" w:hAnsi="宋体" w:eastAsia="宋体" w:cs="宋体"/>
                <w:color w:val="000000" w:themeColor="text1"/>
                <w:sz w:val="24"/>
                <w14:textFill>
                  <w14:solidFill>
                    <w14:schemeClr w14:val="tx1"/>
                  </w14:solidFill>
                </w14:textFill>
              </w:rPr>
              <w:t>；</w:t>
            </w:r>
          </w:p>
          <w:p w14:paraId="26FF85FE">
            <w:pPr>
              <w:topLinePunct/>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知晓与外贸行业相关的韩资企业概况</w:t>
            </w:r>
          </w:p>
        </w:tc>
        <w:tc>
          <w:tcPr>
            <w:tcW w:w="709" w:type="dxa"/>
            <w:vMerge w:val="continue"/>
            <w:vAlign w:val="center"/>
          </w:tcPr>
          <w:p w14:paraId="488CC2C8">
            <w:pPr>
              <w:topLinePunct/>
              <w:ind w:firstLine="480" w:firstLineChars="200"/>
              <w:jc w:val="center"/>
              <w:rPr>
                <w:rFonts w:ascii="宋体" w:hAnsi="宋体" w:eastAsia="宋体" w:cs="宋体"/>
                <w:sz w:val="24"/>
              </w:rPr>
            </w:pPr>
          </w:p>
        </w:tc>
      </w:tr>
      <w:tr w14:paraId="0230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296" w:type="dxa"/>
            <w:vMerge w:val="continue"/>
            <w:vAlign w:val="center"/>
          </w:tcPr>
          <w:p w14:paraId="168DF77D">
            <w:pPr>
              <w:topLinePunct/>
              <w:jc w:val="center"/>
              <w:rPr>
                <w:rFonts w:ascii="宋体" w:hAnsi="宋体" w:eastAsia="宋体" w:cs="宋体"/>
                <w:sz w:val="24"/>
              </w:rPr>
            </w:pPr>
          </w:p>
        </w:tc>
        <w:tc>
          <w:tcPr>
            <w:tcW w:w="1701" w:type="dxa"/>
            <w:vAlign w:val="center"/>
          </w:tcPr>
          <w:p w14:paraId="5F8022A7">
            <w:pPr>
              <w:jc w:val="center"/>
              <w:rPr>
                <w:rFonts w:ascii="宋体" w:hAnsi="宋体" w:eastAsia="宋体" w:cs="宋体"/>
                <w:sz w:val="24"/>
              </w:rPr>
            </w:pPr>
            <w:r>
              <w:rPr>
                <w:rFonts w:hint="eastAsia" w:ascii="宋体" w:hAnsi="宋体" w:eastAsia="宋体" w:cs="宋体"/>
                <w:sz w:val="24"/>
              </w:rPr>
              <w:t>商务会议文化</w:t>
            </w:r>
          </w:p>
        </w:tc>
        <w:tc>
          <w:tcPr>
            <w:tcW w:w="4653" w:type="dxa"/>
            <w:vAlign w:val="center"/>
          </w:tcPr>
          <w:p w14:paraId="32EF52EF">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1.掌握整个会议的基本流程：准备阶段、进行阶段和结束阶段；</w:t>
            </w:r>
          </w:p>
          <w:p w14:paraId="41BD17EB">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2.了解洽谈会的礼仪性准备以及会议的座次规则</w:t>
            </w:r>
          </w:p>
        </w:tc>
        <w:tc>
          <w:tcPr>
            <w:tcW w:w="709" w:type="dxa"/>
            <w:vMerge w:val="continue"/>
            <w:vAlign w:val="center"/>
          </w:tcPr>
          <w:p w14:paraId="132AD4EB">
            <w:pPr>
              <w:topLinePunct/>
              <w:ind w:firstLine="480" w:firstLineChars="200"/>
              <w:jc w:val="center"/>
              <w:rPr>
                <w:rFonts w:ascii="宋体" w:hAnsi="宋体" w:eastAsia="宋体" w:cs="宋体"/>
                <w:sz w:val="24"/>
              </w:rPr>
            </w:pPr>
          </w:p>
        </w:tc>
      </w:tr>
      <w:tr w14:paraId="6666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643CA02C">
            <w:pPr>
              <w:topLinePunct/>
              <w:jc w:val="center"/>
              <w:rPr>
                <w:rFonts w:ascii="宋体" w:hAnsi="宋体" w:eastAsia="宋体" w:cs="宋体"/>
                <w:sz w:val="24"/>
              </w:rPr>
            </w:pPr>
            <w:r>
              <w:rPr>
                <w:rFonts w:hint="eastAsia" w:ascii="宋体" w:hAnsi="宋体" w:eastAsia="宋体" w:cs="宋体"/>
                <w:sz w:val="24"/>
              </w:rPr>
              <w:t>韩语泛读技巧</w:t>
            </w:r>
          </w:p>
        </w:tc>
        <w:tc>
          <w:tcPr>
            <w:tcW w:w="1701" w:type="dxa"/>
            <w:vAlign w:val="center"/>
          </w:tcPr>
          <w:p w14:paraId="3C1EC05A">
            <w:pPr>
              <w:topLinePunct/>
              <w:jc w:val="center"/>
              <w:rPr>
                <w:rFonts w:ascii="宋体" w:hAnsi="宋体" w:eastAsia="宋体" w:cs="宋体"/>
                <w:sz w:val="24"/>
              </w:rPr>
            </w:pPr>
            <w:r>
              <w:rPr>
                <w:rFonts w:hint="eastAsia" w:ascii="宋体" w:hAnsi="宋体" w:eastAsia="宋体" w:cs="宋体"/>
                <w:sz w:val="24"/>
              </w:rPr>
              <w:t>快速阅读</w:t>
            </w:r>
          </w:p>
        </w:tc>
        <w:tc>
          <w:tcPr>
            <w:tcW w:w="4653" w:type="dxa"/>
            <w:vAlign w:val="center"/>
          </w:tcPr>
          <w:p w14:paraId="68B61DE3">
            <w:pPr>
              <w:pStyle w:val="16"/>
              <w:widowControl w:val="0"/>
              <w:autoSpaceDE w:val="0"/>
              <w:autoSpaceDN w:val="0"/>
              <w:adjustRightInd w:val="0"/>
              <w:spacing w:line="0" w:lineRule="atLeast"/>
              <w:ind w:left="250" w:hanging="250" w:firstLineChars="0"/>
              <w:jc w:val="both"/>
              <w:rPr>
                <w:rFonts w:ascii="宋体" w:hAnsi="宋体" w:cs="仿宋"/>
                <w:color w:val="000000" w:themeColor="text1"/>
                <w:kern w:val="0"/>
                <w:sz w:val="24"/>
                <w:szCs w:val="24"/>
                <w:lang w:val="zh-CN"/>
                <w14:textFill>
                  <w14:solidFill>
                    <w14:schemeClr w14:val="tx1"/>
                  </w14:solidFill>
                </w14:textFill>
              </w:rPr>
            </w:pPr>
            <w:r>
              <w:rPr>
                <w:rFonts w:ascii="宋体" w:hAnsi="宋体" w:eastAsia="宋体" w:cs="宋体"/>
                <w:color w:val="000000" w:themeColor="text1"/>
                <w:kern w:val="0"/>
                <w:sz w:val="24"/>
                <w:szCs w:val="24"/>
                <w:lang w:val="zh-CN"/>
                <w14:textFill>
                  <w14:solidFill>
                    <w14:schemeClr w14:val="tx1"/>
                  </w14:solidFill>
                </w14:textFill>
              </w:rPr>
              <w:t>1.</w:t>
            </w:r>
            <w:r>
              <w:rPr>
                <w:rFonts w:ascii="宋体" w:hAnsi="宋体" w:eastAsia="宋体" w:cs="宋体"/>
                <w:color w:val="000000" w:themeColor="text1"/>
                <w:sz w:val="24"/>
                <w14:textFill>
                  <w14:solidFill>
                    <w14:schemeClr w14:val="tx1"/>
                  </w14:solidFill>
                </w14:textFill>
              </w:rPr>
              <w:t>了解</w:t>
            </w:r>
            <w:r>
              <w:rPr>
                <w:rFonts w:hint="eastAsia" w:ascii="宋体" w:hAnsi="宋体" w:eastAsia="宋体" w:cs="宋体"/>
                <w:color w:val="000000" w:themeColor="text1"/>
                <w:sz w:val="24"/>
                <w14:textFill>
                  <w14:solidFill>
                    <w14:schemeClr w14:val="tx1"/>
                  </w14:solidFill>
                </w14:textFill>
              </w:rPr>
              <w:t>商务韩</w:t>
            </w:r>
            <w:r>
              <w:rPr>
                <w:rFonts w:hint="eastAsia" w:ascii="宋体" w:hAnsi="宋体" w:cs="仿宋"/>
                <w:color w:val="000000" w:themeColor="text1"/>
                <w:kern w:val="0"/>
                <w:sz w:val="24"/>
                <w:szCs w:val="24"/>
                <w:lang w:val="zh-CN"/>
                <w14:textFill>
                  <w14:solidFill>
                    <w14:schemeClr w14:val="tx1"/>
                  </w14:solidFill>
                </w14:textFill>
              </w:rPr>
              <w:t>语行文的基本句型结构、段落组织、逻辑连贯等；</w:t>
            </w:r>
          </w:p>
          <w:p w14:paraId="794A5A95">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了解韩语快速阅读技巧，提高韩语阅读速度和理解能力；</w:t>
            </w:r>
          </w:p>
          <w:p w14:paraId="02D8D54B">
            <w:pPr>
              <w:topLinePunct/>
              <w:ind w:left="240" w:hanging="240" w:hangingChars="100"/>
              <w:contextualSpacing/>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能在规定时间内阅读，并提取重要信息，完成相关练习</w:t>
            </w:r>
          </w:p>
        </w:tc>
        <w:tc>
          <w:tcPr>
            <w:tcW w:w="709" w:type="dxa"/>
            <w:vMerge w:val="restart"/>
            <w:vAlign w:val="center"/>
          </w:tcPr>
          <w:p w14:paraId="38158BFE">
            <w:pPr>
              <w:topLinePunct/>
              <w:jc w:val="center"/>
              <w:rPr>
                <w:rFonts w:ascii="宋体" w:hAnsi="宋体" w:eastAsia="宋体" w:cs="宋体"/>
                <w:sz w:val="24"/>
              </w:rPr>
            </w:pPr>
            <w:r>
              <w:rPr>
                <w:rFonts w:ascii="宋体" w:hAnsi="宋体" w:eastAsia="宋体" w:cs="宋体"/>
                <w:sz w:val="24"/>
              </w:rPr>
              <w:t>12</w:t>
            </w:r>
          </w:p>
        </w:tc>
      </w:tr>
      <w:tr w14:paraId="08228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1C27396C">
            <w:pPr>
              <w:topLinePunct/>
              <w:jc w:val="center"/>
              <w:rPr>
                <w:rFonts w:ascii="宋体" w:hAnsi="宋体" w:eastAsia="宋体" w:cs="宋体"/>
                <w:sz w:val="24"/>
              </w:rPr>
            </w:pPr>
          </w:p>
        </w:tc>
        <w:tc>
          <w:tcPr>
            <w:tcW w:w="1701" w:type="dxa"/>
            <w:vAlign w:val="center"/>
          </w:tcPr>
          <w:p w14:paraId="54CBEF1E">
            <w:pPr>
              <w:topLinePunct/>
              <w:jc w:val="center"/>
              <w:rPr>
                <w:rFonts w:ascii="宋体" w:hAnsi="宋体" w:cs="宋体"/>
                <w:kern w:val="0"/>
                <w:sz w:val="24"/>
              </w:rPr>
            </w:pPr>
            <w:r>
              <w:rPr>
                <w:rFonts w:hint="eastAsia" w:ascii="宋体" w:hAnsi="宋体" w:cs="宋体"/>
                <w:kern w:val="0"/>
                <w:sz w:val="24"/>
              </w:rPr>
              <w:t>关联阅读</w:t>
            </w:r>
          </w:p>
        </w:tc>
        <w:tc>
          <w:tcPr>
            <w:tcW w:w="4653" w:type="dxa"/>
            <w:vAlign w:val="center"/>
          </w:tcPr>
          <w:p w14:paraId="2423734D">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掌握根据上下文进行阅读的技巧；</w:t>
            </w:r>
          </w:p>
          <w:p w14:paraId="6708290C">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能快速阅读商务文本，并根据上下文理解文章大意</w:t>
            </w:r>
          </w:p>
        </w:tc>
        <w:tc>
          <w:tcPr>
            <w:tcW w:w="709" w:type="dxa"/>
            <w:vMerge w:val="continue"/>
            <w:vAlign w:val="center"/>
          </w:tcPr>
          <w:p w14:paraId="7D7CFF36">
            <w:pPr>
              <w:topLinePunct/>
              <w:jc w:val="center"/>
              <w:rPr>
                <w:rFonts w:ascii="宋体" w:hAnsi="宋体" w:eastAsia="宋体" w:cs="宋体"/>
                <w:sz w:val="24"/>
              </w:rPr>
            </w:pPr>
          </w:p>
        </w:tc>
      </w:tr>
      <w:tr w14:paraId="1A97A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51CE5BD9">
            <w:pPr>
              <w:topLinePunct/>
              <w:jc w:val="center"/>
              <w:rPr>
                <w:rFonts w:ascii="宋体" w:hAnsi="宋体" w:eastAsia="宋体" w:cs="宋体"/>
                <w:sz w:val="24"/>
              </w:rPr>
            </w:pPr>
          </w:p>
        </w:tc>
        <w:tc>
          <w:tcPr>
            <w:tcW w:w="1701" w:type="dxa"/>
            <w:vAlign w:val="center"/>
          </w:tcPr>
          <w:p w14:paraId="1FFEB764">
            <w:pPr>
              <w:topLinePunct/>
              <w:jc w:val="center"/>
              <w:rPr>
                <w:rFonts w:ascii="宋体" w:hAnsi="宋体" w:cs="宋体"/>
                <w:kern w:val="0"/>
                <w:sz w:val="24"/>
              </w:rPr>
            </w:pPr>
            <w:r>
              <w:rPr>
                <w:rFonts w:hint="eastAsia" w:ascii="宋体" w:hAnsi="宋体" w:cs="宋体"/>
                <w:kern w:val="0"/>
                <w:sz w:val="24"/>
              </w:rPr>
              <w:t>不同文本类型阅读</w:t>
            </w:r>
          </w:p>
        </w:tc>
        <w:tc>
          <w:tcPr>
            <w:tcW w:w="4653" w:type="dxa"/>
            <w:vAlign w:val="center"/>
          </w:tcPr>
          <w:p w14:paraId="6AE328A0">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了解不同的商务文本类型，如邮件、信函、</w:t>
            </w:r>
            <w:r>
              <w:rPr>
                <w:rFonts w:hint="eastAsia" w:ascii="宋体" w:hAnsi="宋体" w:cs="仿宋"/>
                <w:kern w:val="0"/>
                <w:sz w:val="24"/>
                <w:szCs w:val="24"/>
                <w:lang w:val="zh-CN"/>
              </w:rPr>
              <w:t>新闻、广告、图文、</w:t>
            </w:r>
            <w:r>
              <w:rPr>
                <w:rFonts w:hint="eastAsia" w:ascii="宋体" w:hAnsi="宋体" w:eastAsia="宋体" w:cs="宋体"/>
                <w:sz w:val="24"/>
              </w:rPr>
              <w:t>日程表、会议纪要、采购订单、报关单、货运单、合同等；</w:t>
            </w:r>
          </w:p>
          <w:p w14:paraId="3BCEFB60">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掌握不同文本类型中的专业术语、写作格式和要求；</w:t>
            </w:r>
          </w:p>
          <w:p w14:paraId="0630F1FE">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能快速阅读各种商务文本，准确提取信息并进行处理</w:t>
            </w:r>
          </w:p>
        </w:tc>
        <w:tc>
          <w:tcPr>
            <w:tcW w:w="709" w:type="dxa"/>
            <w:vMerge w:val="continue"/>
            <w:vAlign w:val="center"/>
          </w:tcPr>
          <w:p w14:paraId="5B444CD7">
            <w:pPr>
              <w:topLinePunct/>
              <w:jc w:val="center"/>
              <w:rPr>
                <w:rFonts w:ascii="宋体" w:hAnsi="宋体" w:eastAsia="宋体" w:cs="宋体"/>
                <w:sz w:val="24"/>
              </w:rPr>
            </w:pPr>
          </w:p>
        </w:tc>
      </w:tr>
      <w:tr w14:paraId="7EA4A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4D78D299">
            <w:pPr>
              <w:topLinePunct/>
              <w:jc w:val="center"/>
              <w:rPr>
                <w:rFonts w:ascii="宋体" w:hAnsi="宋体" w:eastAsia="宋体" w:cs="宋体"/>
                <w:sz w:val="24"/>
              </w:rPr>
            </w:pPr>
            <w:r>
              <w:rPr>
                <w:rFonts w:hint="eastAsia" w:ascii="宋体" w:hAnsi="宋体" w:eastAsia="宋体" w:cs="宋体"/>
                <w:sz w:val="24"/>
              </w:rPr>
              <w:t>韩语精读技巧</w:t>
            </w:r>
          </w:p>
        </w:tc>
        <w:tc>
          <w:tcPr>
            <w:tcW w:w="1701" w:type="dxa"/>
            <w:vAlign w:val="center"/>
          </w:tcPr>
          <w:p w14:paraId="47AFA781">
            <w:pPr>
              <w:topLinePunct/>
              <w:jc w:val="center"/>
              <w:rPr>
                <w:rFonts w:ascii="宋体" w:hAnsi="宋体" w:cs="宋体"/>
                <w:kern w:val="0"/>
                <w:sz w:val="24"/>
              </w:rPr>
            </w:pPr>
            <w:r>
              <w:rPr>
                <w:rFonts w:hint="eastAsia" w:ascii="宋体" w:hAnsi="宋体" w:cs="宋体"/>
                <w:kern w:val="0"/>
                <w:sz w:val="24"/>
              </w:rPr>
              <w:t>商务约见主题阅读</w:t>
            </w:r>
          </w:p>
        </w:tc>
        <w:tc>
          <w:tcPr>
            <w:tcW w:w="4653" w:type="dxa"/>
            <w:vAlign w:val="center"/>
          </w:tcPr>
          <w:p w14:paraId="08886614">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了解商定约见及预约的词汇、句型及文本格式；</w:t>
            </w:r>
          </w:p>
          <w:p w14:paraId="587DA346">
            <w:pPr>
              <w:topLinePunct/>
              <w:ind w:left="240" w:hanging="240" w:hangingChars="100"/>
              <w:contextualSpacing/>
              <w:jc w:val="both"/>
              <w:rPr>
                <w:rFonts w:ascii="宋体" w:hAnsi="宋体" w:eastAsia="宋体" w:cs="宋体"/>
                <w:sz w:val="24"/>
              </w:rPr>
            </w:pPr>
            <w:r>
              <w:rPr>
                <w:rFonts w:ascii="宋体" w:hAnsi="宋体" w:eastAsia="宋体" w:cs="宋体"/>
                <w:sz w:val="24"/>
              </w:rPr>
              <w:t>2.能</w:t>
            </w:r>
            <w:r>
              <w:rPr>
                <w:rFonts w:hint="eastAsia" w:ascii="宋体" w:hAnsi="宋体" w:eastAsia="宋体" w:cs="宋体"/>
                <w:sz w:val="24"/>
              </w:rPr>
              <w:t>提取有关“约见”时间、地点、主题等内容的信息；</w:t>
            </w:r>
          </w:p>
          <w:p w14:paraId="63EEEDA0">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能商定并确认商务会面的各项事宜</w:t>
            </w:r>
          </w:p>
        </w:tc>
        <w:tc>
          <w:tcPr>
            <w:tcW w:w="709" w:type="dxa"/>
            <w:vMerge w:val="restart"/>
            <w:vAlign w:val="center"/>
          </w:tcPr>
          <w:p w14:paraId="2683A6E7">
            <w:pPr>
              <w:topLinePunct/>
              <w:jc w:val="center"/>
              <w:rPr>
                <w:rFonts w:ascii="宋体" w:hAnsi="宋体" w:eastAsia="宋体" w:cs="宋体"/>
                <w:sz w:val="24"/>
              </w:rPr>
            </w:pPr>
            <w:r>
              <w:rPr>
                <w:rFonts w:ascii="宋体" w:hAnsi="宋体" w:eastAsia="宋体" w:cs="宋体"/>
                <w:sz w:val="24"/>
              </w:rPr>
              <w:t>16</w:t>
            </w:r>
          </w:p>
        </w:tc>
      </w:tr>
      <w:tr w14:paraId="7593B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1D5164CF">
            <w:pPr>
              <w:topLinePunct/>
              <w:jc w:val="center"/>
              <w:rPr>
                <w:rFonts w:ascii="宋体" w:hAnsi="宋体" w:eastAsia="宋体" w:cs="宋体"/>
                <w:sz w:val="24"/>
              </w:rPr>
            </w:pPr>
          </w:p>
        </w:tc>
        <w:tc>
          <w:tcPr>
            <w:tcW w:w="1701" w:type="dxa"/>
            <w:vAlign w:val="center"/>
          </w:tcPr>
          <w:p w14:paraId="2D4E6429">
            <w:pPr>
              <w:topLinePunct/>
              <w:jc w:val="center"/>
              <w:rPr>
                <w:rFonts w:ascii="宋体" w:hAnsi="宋体" w:cs="宋体"/>
                <w:kern w:val="0"/>
                <w:sz w:val="24"/>
              </w:rPr>
            </w:pPr>
            <w:r>
              <w:rPr>
                <w:rFonts w:hint="eastAsia" w:ascii="宋体" w:hAnsi="宋体" w:cs="宋体"/>
                <w:kern w:val="0"/>
                <w:sz w:val="24"/>
              </w:rPr>
              <w:t>招聘求职主题阅读</w:t>
            </w:r>
          </w:p>
        </w:tc>
        <w:tc>
          <w:tcPr>
            <w:tcW w:w="4653" w:type="dxa"/>
            <w:vAlign w:val="center"/>
          </w:tcPr>
          <w:p w14:paraId="1CC8840C">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.了解</w:t>
            </w:r>
            <w:r>
              <w:rPr>
                <w:rFonts w:hint="eastAsia" w:ascii="宋体" w:hAnsi="宋体" w:eastAsia="宋体" w:cs="宋体"/>
                <w:sz w:val="24"/>
              </w:rPr>
              <w:t>企业招聘广告、职位要求等相关词汇、句型；</w:t>
            </w:r>
          </w:p>
          <w:p w14:paraId="3041E355">
            <w:pPr>
              <w:topLinePunct/>
              <w:ind w:left="240" w:hanging="240" w:hangingChars="100"/>
              <w:contextualSpacing/>
              <w:jc w:val="both"/>
              <w:rPr>
                <w:rFonts w:ascii="宋体" w:hAnsi="宋体" w:eastAsia="宋体" w:cs="宋体"/>
                <w:sz w:val="24"/>
              </w:rPr>
            </w:pPr>
            <w:r>
              <w:rPr>
                <w:rFonts w:ascii="宋体" w:hAnsi="宋体" w:eastAsia="宋体" w:cs="宋体"/>
                <w:sz w:val="24"/>
              </w:rPr>
              <w:t>2.熟悉</w:t>
            </w:r>
            <w:r>
              <w:rPr>
                <w:rFonts w:hint="eastAsia" w:ascii="宋体" w:hAnsi="宋体" w:eastAsia="宋体" w:cs="宋体"/>
                <w:sz w:val="24"/>
              </w:rPr>
              <w:t>韩文简历的格式及信息点；</w:t>
            </w:r>
          </w:p>
          <w:p w14:paraId="5D90A409">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能根据岗位要求筛选应聘人员并回复组织应聘面试等</w:t>
            </w:r>
          </w:p>
        </w:tc>
        <w:tc>
          <w:tcPr>
            <w:tcW w:w="709" w:type="dxa"/>
            <w:vMerge w:val="continue"/>
            <w:vAlign w:val="center"/>
          </w:tcPr>
          <w:p w14:paraId="06CA09BA">
            <w:pPr>
              <w:topLinePunct/>
              <w:jc w:val="center"/>
              <w:rPr>
                <w:rFonts w:ascii="宋体" w:hAnsi="宋体" w:eastAsia="宋体" w:cs="宋体"/>
                <w:sz w:val="24"/>
              </w:rPr>
            </w:pPr>
          </w:p>
        </w:tc>
      </w:tr>
      <w:tr w14:paraId="5EB70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2CE3E99D">
            <w:pPr>
              <w:topLinePunct/>
              <w:jc w:val="center"/>
              <w:rPr>
                <w:rFonts w:ascii="宋体" w:hAnsi="宋体" w:eastAsia="宋体" w:cs="宋体"/>
                <w:sz w:val="24"/>
              </w:rPr>
            </w:pPr>
          </w:p>
        </w:tc>
        <w:tc>
          <w:tcPr>
            <w:tcW w:w="1701" w:type="dxa"/>
            <w:vAlign w:val="center"/>
          </w:tcPr>
          <w:p w14:paraId="7BF857E6">
            <w:pPr>
              <w:topLinePunct/>
              <w:jc w:val="center"/>
              <w:rPr>
                <w:rFonts w:ascii="宋体" w:hAnsi="宋体" w:cs="宋体"/>
                <w:kern w:val="0"/>
                <w:sz w:val="24"/>
              </w:rPr>
            </w:pPr>
            <w:r>
              <w:rPr>
                <w:rFonts w:hint="eastAsia" w:ascii="宋体" w:hAnsi="宋体" w:cs="宋体"/>
                <w:kern w:val="0"/>
                <w:sz w:val="24"/>
              </w:rPr>
              <w:t>合同文件阅读</w:t>
            </w:r>
          </w:p>
        </w:tc>
        <w:tc>
          <w:tcPr>
            <w:tcW w:w="4653" w:type="dxa"/>
            <w:vAlign w:val="center"/>
          </w:tcPr>
          <w:p w14:paraId="3C309B24">
            <w:pPr>
              <w:topLinePunct/>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熟悉合同的格式及对应条款；</w:t>
            </w:r>
          </w:p>
          <w:p w14:paraId="1122E826">
            <w:pPr>
              <w:topLinePunct/>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能提取合同重要信息并给予反馈；</w:t>
            </w:r>
          </w:p>
          <w:p w14:paraId="4177B477">
            <w:pPr>
              <w:topLinePunct/>
              <w:contextualSpacing/>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能起草合同并完善修改</w:t>
            </w:r>
          </w:p>
        </w:tc>
        <w:tc>
          <w:tcPr>
            <w:tcW w:w="709" w:type="dxa"/>
            <w:vMerge w:val="continue"/>
            <w:vAlign w:val="center"/>
          </w:tcPr>
          <w:p w14:paraId="5C860A45">
            <w:pPr>
              <w:topLinePunct/>
              <w:jc w:val="center"/>
              <w:rPr>
                <w:rFonts w:ascii="宋体" w:hAnsi="宋体" w:eastAsia="宋体" w:cs="宋体"/>
                <w:sz w:val="24"/>
              </w:rPr>
            </w:pPr>
          </w:p>
        </w:tc>
      </w:tr>
      <w:tr w14:paraId="69215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2ADE525A">
            <w:pPr>
              <w:topLinePunct/>
              <w:jc w:val="center"/>
              <w:rPr>
                <w:rFonts w:ascii="宋体" w:hAnsi="宋体" w:eastAsia="宋体" w:cs="宋体"/>
                <w:sz w:val="24"/>
              </w:rPr>
            </w:pPr>
          </w:p>
        </w:tc>
        <w:tc>
          <w:tcPr>
            <w:tcW w:w="1701" w:type="dxa"/>
            <w:vAlign w:val="center"/>
          </w:tcPr>
          <w:p w14:paraId="0048E08C">
            <w:pPr>
              <w:topLinePunct/>
              <w:jc w:val="center"/>
              <w:rPr>
                <w:rFonts w:ascii="宋体" w:hAnsi="宋体" w:cs="宋体"/>
                <w:kern w:val="0"/>
                <w:sz w:val="24"/>
              </w:rPr>
            </w:pPr>
            <w:r>
              <w:rPr>
                <w:rFonts w:hint="eastAsia" w:ascii="宋体" w:hAnsi="宋体" w:cs="宋体"/>
                <w:kern w:val="0"/>
                <w:sz w:val="24"/>
              </w:rPr>
              <w:t>售后服务主题阅读</w:t>
            </w:r>
          </w:p>
        </w:tc>
        <w:tc>
          <w:tcPr>
            <w:tcW w:w="4653" w:type="dxa"/>
            <w:vAlign w:val="center"/>
          </w:tcPr>
          <w:p w14:paraId="2A429942">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掌握与售后服务相关的词汇、句型及反馈格式；</w:t>
            </w:r>
          </w:p>
          <w:p w14:paraId="69D71C36">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能读懂售后服务问题并做出相应回复处理</w:t>
            </w:r>
          </w:p>
        </w:tc>
        <w:tc>
          <w:tcPr>
            <w:tcW w:w="709" w:type="dxa"/>
            <w:vMerge w:val="continue"/>
            <w:vAlign w:val="center"/>
          </w:tcPr>
          <w:p w14:paraId="6EC69B06">
            <w:pPr>
              <w:topLinePunct/>
              <w:jc w:val="center"/>
              <w:rPr>
                <w:rFonts w:ascii="宋体" w:hAnsi="宋体" w:eastAsia="宋体" w:cs="宋体"/>
                <w:sz w:val="24"/>
              </w:rPr>
            </w:pPr>
          </w:p>
        </w:tc>
      </w:tr>
      <w:tr w14:paraId="07F7F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54465B63">
            <w:pPr>
              <w:topLinePunct/>
              <w:jc w:val="center"/>
              <w:rPr>
                <w:rFonts w:ascii="宋体" w:hAnsi="宋体" w:eastAsia="宋体" w:cs="宋体"/>
                <w:sz w:val="24"/>
              </w:rPr>
            </w:pPr>
            <w:r>
              <w:rPr>
                <w:rFonts w:hint="eastAsia" w:ascii="宋体" w:hAnsi="宋体" w:eastAsia="宋体" w:cs="宋体"/>
                <w:sz w:val="24"/>
              </w:rPr>
              <w:t>商务类文件阅读</w:t>
            </w:r>
          </w:p>
        </w:tc>
        <w:tc>
          <w:tcPr>
            <w:tcW w:w="1701" w:type="dxa"/>
            <w:vAlign w:val="center"/>
          </w:tcPr>
          <w:p w14:paraId="3EEFE815">
            <w:pPr>
              <w:topLinePunct/>
              <w:jc w:val="center"/>
              <w:rPr>
                <w:rFonts w:ascii="宋体" w:hAnsi="宋体" w:eastAsia="宋体" w:cs="宋体"/>
                <w:sz w:val="24"/>
              </w:rPr>
            </w:pPr>
            <w:r>
              <w:rPr>
                <w:rFonts w:hint="eastAsia" w:cs="宋体" w:asciiTheme="minorEastAsia" w:hAnsiTheme="minorEastAsia"/>
                <w:sz w:val="24"/>
                <w:szCs w:val="24"/>
              </w:rPr>
              <w:t>文秘类</w:t>
            </w:r>
            <w:r>
              <w:rPr>
                <w:rFonts w:hint="eastAsia" w:ascii="宋体" w:hAnsi="宋体" w:eastAsia="宋体" w:cs="宋体"/>
                <w:sz w:val="24"/>
              </w:rPr>
              <w:t>文件阅读</w:t>
            </w:r>
          </w:p>
        </w:tc>
        <w:tc>
          <w:tcPr>
            <w:tcW w:w="4653" w:type="dxa"/>
            <w:vAlign w:val="center"/>
          </w:tcPr>
          <w:p w14:paraId="446F3BA1">
            <w:pPr>
              <w:pStyle w:val="16"/>
              <w:widowControl w:val="0"/>
              <w:autoSpaceDE w:val="0"/>
              <w:autoSpaceDN w:val="0"/>
              <w:adjustRightInd w:val="0"/>
              <w:spacing w:line="0" w:lineRule="atLeast"/>
              <w:ind w:left="250" w:hanging="250" w:firstLineChars="0"/>
              <w:jc w:val="both"/>
              <w:rPr>
                <w:rFonts w:ascii="宋体" w:hAnsi="宋体" w:cs="仿宋"/>
                <w:kern w:val="0"/>
                <w:sz w:val="24"/>
                <w:szCs w:val="24"/>
                <w:lang w:val="zh-CN"/>
              </w:rPr>
            </w:pPr>
            <w:r>
              <w:rPr>
                <w:rFonts w:ascii="宋体" w:hAnsi="宋体" w:eastAsia="宋体" w:cs="宋体"/>
                <w:kern w:val="0"/>
                <w:sz w:val="24"/>
                <w:szCs w:val="24"/>
                <w:lang w:val="zh-CN"/>
              </w:rPr>
              <w:t>1.</w:t>
            </w:r>
            <w:r>
              <w:rPr>
                <w:rFonts w:ascii="宋体" w:hAnsi="宋体" w:eastAsia="宋体" w:cs="宋体"/>
                <w:sz w:val="24"/>
              </w:rPr>
              <w:t>了解与</w:t>
            </w:r>
            <w:r>
              <w:rPr>
                <w:rFonts w:hint="eastAsia" w:cs="宋体" w:asciiTheme="minorEastAsia" w:hAnsiTheme="minorEastAsia"/>
                <w:sz w:val="24"/>
                <w:szCs w:val="24"/>
              </w:rPr>
              <w:t>文秘工作相关的文件</w:t>
            </w:r>
            <w:r>
              <w:rPr>
                <w:sz w:val="24"/>
                <w:szCs w:val="24"/>
              </w:rPr>
              <w:t>种类，格式和要求</w:t>
            </w:r>
            <w:r>
              <w:rPr>
                <w:rFonts w:hint="eastAsia"/>
                <w:sz w:val="24"/>
                <w:szCs w:val="24"/>
              </w:rPr>
              <w:t>，如业务邮件、日程表、会议纪要、差旅申请、报销单据、邀请函等；</w:t>
            </w:r>
          </w:p>
          <w:p w14:paraId="5421ECDC">
            <w:pPr>
              <w:pStyle w:val="16"/>
              <w:widowControl w:val="0"/>
              <w:autoSpaceDE w:val="0"/>
              <w:autoSpaceDN w:val="0"/>
              <w:adjustRightInd w:val="0"/>
              <w:spacing w:line="0" w:lineRule="atLeast"/>
              <w:ind w:left="250" w:hanging="250" w:firstLineChars="0"/>
              <w:jc w:val="both"/>
              <w:rPr>
                <w:rFonts w:ascii="宋体" w:hAnsi="宋体" w:cs="仿宋"/>
                <w:kern w:val="0"/>
                <w:sz w:val="24"/>
                <w:szCs w:val="24"/>
                <w:lang w:val="zh-CN"/>
              </w:rPr>
            </w:pPr>
            <w:r>
              <w:rPr>
                <w:rFonts w:ascii="宋体" w:hAnsi="宋体" w:eastAsia="宋体" w:cs="宋体"/>
                <w:kern w:val="0"/>
                <w:sz w:val="24"/>
                <w:szCs w:val="24"/>
                <w:lang w:val="zh-CN"/>
              </w:rPr>
              <w:t>2.</w:t>
            </w:r>
            <w:r>
              <w:rPr>
                <w:rFonts w:hint="eastAsia" w:ascii="宋体" w:hAnsi="宋体" w:cs="仿宋"/>
                <w:kern w:val="0"/>
                <w:sz w:val="24"/>
                <w:szCs w:val="24"/>
                <w:lang w:val="zh-CN"/>
              </w:rPr>
              <w:t>能读懂和撰写基础办公文书</w:t>
            </w:r>
          </w:p>
        </w:tc>
        <w:tc>
          <w:tcPr>
            <w:tcW w:w="709" w:type="dxa"/>
            <w:vMerge w:val="restart"/>
            <w:vAlign w:val="center"/>
          </w:tcPr>
          <w:p w14:paraId="690AE3B0">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8</w:t>
            </w:r>
          </w:p>
        </w:tc>
      </w:tr>
      <w:tr w14:paraId="26EC9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379D022F">
            <w:pPr>
              <w:topLinePunct/>
              <w:jc w:val="center"/>
              <w:rPr>
                <w:rFonts w:ascii="宋体" w:hAnsi="宋体" w:eastAsia="宋体" w:cs="宋体"/>
                <w:sz w:val="24"/>
              </w:rPr>
            </w:pPr>
          </w:p>
        </w:tc>
        <w:tc>
          <w:tcPr>
            <w:tcW w:w="1701" w:type="dxa"/>
            <w:vAlign w:val="center"/>
          </w:tcPr>
          <w:p w14:paraId="271154E3">
            <w:pPr>
              <w:topLinePunct/>
              <w:jc w:val="center"/>
              <w:rPr>
                <w:rFonts w:ascii="宋体" w:hAnsi="宋体" w:eastAsia="宋体" w:cs="宋体"/>
                <w:sz w:val="24"/>
                <w:highlight w:val="yellow"/>
              </w:rPr>
            </w:pPr>
            <w:r>
              <w:rPr>
                <w:rFonts w:hint="eastAsia" w:cs="宋体" w:asciiTheme="minorEastAsia" w:hAnsiTheme="minorEastAsia"/>
                <w:sz w:val="24"/>
                <w:szCs w:val="24"/>
              </w:rPr>
              <w:t>营销类</w:t>
            </w:r>
            <w:r>
              <w:rPr>
                <w:rFonts w:hint="eastAsia" w:ascii="宋体" w:hAnsi="宋体" w:eastAsia="宋体" w:cs="宋体"/>
                <w:sz w:val="24"/>
              </w:rPr>
              <w:t>文件阅读</w:t>
            </w:r>
          </w:p>
        </w:tc>
        <w:tc>
          <w:tcPr>
            <w:tcW w:w="4653" w:type="dxa"/>
            <w:vAlign w:val="center"/>
          </w:tcPr>
          <w:p w14:paraId="63DAF011">
            <w:pPr>
              <w:widowControl w:val="0"/>
              <w:autoSpaceDE w:val="0"/>
              <w:autoSpaceDN w:val="0"/>
              <w:adjustRightInd w:val="0"/>
              <w:spacing w:line="0" w:lineRule="atLeast"/>
              <w:ind w:left="240" w:hanging="240" w:hangingChars="100"/>
              <w:jc w:val="both"/>
              <w:rPr>
                <w:rFonts w:ascii="宋体" w:hAnsi="宋体" w:cs="仿宋"/>
                <w:kern w:val="0"/>
                <w:sz w:val="24"/>
                <w:szCs w:val="24"/>
                <w:lang w:val="zh-CN"/>
              </w:rPr>
            </w:pPr>
            <w:r>
              <w:rPr>
                <w:rFonts w:hint="eastAsia" w:ascii="宋体" w:hAnsi="宋体" w:eastAsia="宋体" w:cs="宋体"/>
                <w:sz w:val="24"/>
              </w:rPr>
              <w:t>1</w:t>
            </w:r>
            <w:r>
              <w:rPr>
                <w:rFonts w:ascii="宋体" w:hAnsi="宋体" w:eastAsia="宋体" w:cs="宋体"/>
                <w:sz w:val="24"/>
              </w:rPr>
              <w:t>.了解与</w:t>
            </w:r>
            <w:r>
              <w:rPr>
                <w:rFonts w:hint="eastAsia" w:cs="宋体" w:asciiTheme="minorEastAsia" w:hAnsiTheme="minorEastAsia"/>
                <w:sz w:val="24"/>
                <w:szCs w:val="24"/>
              </w:rPr>
              <w:t>商贸营销工作相关的文件</w:t>
            </w:r>
            <w:r>
              <w:rPr>
                <w:sz w:val="24"/>
                <w:szCs w:val="24"/>
              </w:rPr>
              <w:t>种类</w:t>
            </w:r>
            <w:r>
              <w:rPr>
                <w:rFonts w:hint="eastAsia"/>
                <w:sz w:val="24"/>
                <w:szCs w:val="24"/>
              </w:rPr>
              <w:t>、</w:t>
            </w:r>
            <w:r>
              <w:rPr>
                <w:sz w:val="24"/>
                <w:szCs w:val="24"/>
              </w:rPr>
              <w:t>格式和要求</w:t>
            </w:r>
            <w:r>
              <w:rPr>
                <w:rFonts w:hint="eastAsia"/>
                <w:sz w:val="24"/>
                <w:szCs w:val="24"/>
              </w:rPr>
              <w:t>，</w:t>
            </w:r>
            <w:r>
              <w:rPr>
                <w:rFonts w:hint="eastAsia" w:ascii="宋体" w:hAnsi="宋体" w:cs="仿宋"/>
                <w:kern w:val="0"/>
                <w:sz w:val="24"/>
                <w:szCs w:val="24"/>
                <w:lang w:val="zh-CN"/>
              </w:rPr>
              <w:t>如</w:t>
            </w:r>
            <w:r>
              <w:rPr>
                <w:rFonts w:hint="eastAsia" w:ascii="宋体" w:hAnsi="宋体" w:eastAsia="宋体" w:cs="宋体"/>
                <w:sz w:val="24"/>
              </w:rPr>
              <w:t>采购订单、询价单、报价单、报关单、货运单、合同、宣传册、产品目录等；</w:t>
            </w:r>
          </w:p>
          <w:p w14:paraId="1873B13B">
            <w:pPr>
              <w:pStyle w:val="16"/>
              <w:widowControl w:val="0"/>
              <w:autoSpaceDE w:val="0"/>
              <w:autoSpaceDN w:val="0"/>
              <w:adjustRightInd w:val="0"/>
              <w:spacing w:line="0" w:lineRule="atLeast"/>
              <w:ind w:left="250" w:hanging="250" w:firstLineChars="0"/>
              <w:jc w:val="both"/>
              <w:rPr>
                <w:rFonts w:ascii="宋体" w:hAnsi="宋体" w:cs="仿宋"/>
                <w:kern w:val="0"/>
                <w:sz w:val="24"/>
                <w:szCs w:val="24"/>
                <w:lang w:val="zh-CN"/>
              </w:rPr>
            </w:pPr>
            <w:r>
              <w:rPr>
                <w:rFonts w:ascii="宋体" w:hAnsi="宋体" w:eastAsia="宋体" w:cs="宋体"/>
                <w:kern w:val="0"/>
                <w:sz w:val="24"/>
                <w:szCs w:val="24"/>
                <w:lang w:val="zh-CN"/>
              </w:rPr>
              <w:t>2.</w:t>
            </w:r>
            <w:r>
              <w:rPr>
                <w:rFonts w:hint="eastAsia" w:cs="宋体" w:asciiTheme="minorEastAsia" w:hAnsiTheme="minorEastAsia"/>
                <w:color w:val="000000" w:themeColor="text1"/>
                <w:sz w:val="24"/>
                <w:szCs w:val="24"/>
                <w14:textFill>
                  <w14:solidFill>
                    <w14:schemeClr w14:val="tx1"/>
                  </w14:solidFill>
                </w14:textFill>
              </w:rPr>
              <w:t>能大致</w:t>
            </w:r>
            <w:r>
              <w:rPr>
                <w:rFonts w:hint="eastAsia" w:cs="宋体" w:asciiTheme="minorEastAsia" w:hAnsiTheme="minorEastAsia"/>
                <w:sz w:val="24"/>
                <w:szCs w:val="24"/>
              </w:rPr>
              <w:t>理解商贸营销相关</w:t>
            </w:r>
            <w:r>
              <w:rPr>
                <w:rFonts w:hint="eastAsia" w:cs="宋体" w:asciiTheme="minorEastAsia" w:hAnsiTheme="minorEastAsia"/>
                <w:color w:val="000000" w:themeColor="text1"/>
                <w:sz w:val="24"/>
                <w:szCs w:val="24"/>
                <w14:textFill>
                  <w14:solidFill>
                    <w14:schemeClr w14:val="tx1"/>
                  </w14:solidFill>
                </w14:textFill>
              </w:rPr>
              <w:t>的韩语</w:t>
            </w:r>
            <w:r>
              <w:rPr>
                <w:rFonts w:hint="eastAsia" w:ascii="宋体" w:hAnsi="宋体" w:cs="仿宋"/>
                <w:kern w:val="0"/>
                <w:sz w:val="24"/>
                <w:szCs w:val="24"/>
                <w:lang w:val="zh-CN"/>
              </w:rPr>
              <w:t>文件，提高商务词汇量</w:t>
            </w:r>
          </w:p>
        </w:tc>
        <w:tc>
          <w:tcPr>
            <w:tcW w:w="709" w:type="dxa"/>
            <w:vMerge w:val="continue"/>
            <w:vAlign w:val="center"/>
          </w:tcPr>
          <w:p w14:paraId="0EBE6B25">
            <w:pPr>
              <w:topLinePunct/>
              <w:ind w:firstLine="480" w:firstLineChars="200"/>
              <w:jc w:val="center"/>
              <w:rPr>
                <w:rFonts w:ascii="宋体" w:hAnsi="宋体" w:eastAsia="宋体" w:cs="宋体"/>
                <w:sz w:val="24"/>
              </w:rPr>
            </w:pPr>
          </w:p>
        </w:tc>
      </w:tr>
      <w:tr w14:paraId="38C0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6D432858">
            <w:pPr>
              <w:topLinePunct/>
              <w:jc w:val="center"/>
              <w:rPr>
                <w:rFonts w:ascii="宋体" w:hAnsi="宋体" w:eastAsia="宋体" w:cs="宋体"/>
                <w:sz w:val="24"/>
              </w:rPr>
            </w:pPr>
            <w:r>
              <w:rPr>
                <w:rFonts w:hint="eastAsia" w:ascii="宋体" w:hAnsi="宋体" w:eastAsia="宋体" w:cs="宋体"/>
                <w:sz w:val="24"/>
              </w:rPr>
              <w:t>商务韩文综合训练</w:t>
            </w:r>
          </w:p>
        </w:tc>
        <w:tc>
          <w:tcPr>
            <w:tcW w:w="1701" w:type="dxa"/>
            <w:vAlign w:val="center"/>
          </w:tcPr>
          <w:p w14:paraId="724F1202">
            <w:pPr>
              <w:topLinePunct/>
              <w:jc w:val="center"/>
              <w:rPr>
                <w:rFonts w:ascii="宋体" w:hAnsi="宋体" w:eastAsia="宋体" w:cs="宋体"/>
                <w:sz w:val="24"/>
              </w:rPr>
            </w:pPr>
            <w:r>
              <w:rPr>
                <w:rFonts w:hint="eastAsia" w:cs="宋体" w:asciiTheme="minorEastAsia" w:hAnsiTheme="minorEastAsia"/>
                <w:sz w:val="24"/>
                <w:szCs w:val="24"/>
              </w:rPr>
              <w:t>文秘类</w:t>
            </w:r>
            <w:r>
              <w:rPr>
                <w:rFonts w:hint="eastAsia" w:ascii="宋体" w:hAnsi="宋体" w:eastAsia="宋体" w:cs="宋体"/>
                <w:sz w:val="24"/>
              </w:rPr>
              <w:t>韩文综合训练</w:t>
            </w:r>
          </w:p>
        </w:tc>
        <w:tc>
          <w:tcPr>
            <w:tcW w:w="4653" w:type="dxa"/>
            <w:vAlign w:val="center"/>
          </w:tcPr>
          <w:p w14:paraId="5D343E49">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.能</w:t>
            </w:r>
            <w:r>
              <w:rPr>
                <w:rFonts w:hint="eastAsia" w:ascii="宋体" w:hAnsi="宋体" w:eastAsia="宋体" w:cs="宋体"/>
                <w:sz w:val="24"/>
              </w:rPr>
              <w:t>根据商务情境，阅读、回复并处理各类韩语日常文件；</w:t>
            </w:r>
          </w:p>
          <w:p w14:paraId="04ADA6F5">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.能</w:t>
            </w:r>
            <w:r>
              <w:rPr>
                <w:rFonts w:hint="eastAsia" w:ascii="宋体" w:hAnsi="宋体" w:eastAsia="宋体" w:cs="宋体"/>
                <w:sz w:val="24"/>
              </w:rPr>
              <w:t>完成各类商务工作，如行程预约，会议室、酒店、机票和火车票预订等</w:t>
            </w:r>
          </w:p>
        </w:tc>
        <w:tc>
          <w:tcPr>
            <w:tcW w:w="709" w:type="dxa"/>
            <w:vMerge w:val="restart"/>
            <w:vAlign w:val="center"/>
          </w:tcPr>
          <w:p w14:paraId="35E7CADB">
            <w:pPr>
              <w:topLinePunct/>
              <w:jc w:val="center"/>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8</w:t>
            </w:r>
          </w:p>
        </w:tc>
      </w:tr>
      <w:tr w14:paraId="0149E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5F62A853">
            <w:pPr>
              <w:topLinePunct/>
              <w:jc w:val="center"/>
              <w:rPr>
                <w:rFonts w:ascii="宋体" w:hAnsi="宋体" w:eastAsia="宋体" w:cs="宋体"/>
                <w:sz w:val="24"/>
              </w:rPr>
            </w:pPr>
          </w:p>
        </w:tc>
        <w:tc>
          <w:tcPr>
            <w:tcW w:w="1701" w:type="dxa"/>
            <w:vAlign w:val="center"/>
          </w:tcPr>
          <w:p w14:paraId="74AB167D">
            <w:pPr>
              <w:topLinePunct/>
              <w:jc w:val="center"/>
              <w:rPr>
                <w:rFonts w:ascii="宋体" w:hAnsi="宋体" w:eastAsia="宋体" w:cs="宋体"/>
                <w:sz w:val="24"/>
              </w:rPr>
            </w:pPr>
            <w:r>
              <w:rPr>
                <w:rFonts w:hint="eastAsia" w:cs="宋体" w:asciiTheme="minorEastAsia" w:hAnsiTheme="minorEastAsia"/>
                <w:sz w:val="24"/>
                <w:szCs w:val="24"/>
              </w:rPr>
              <w:t>营销类</w:t>
            </w:r>
            <w:r>
              <w:rPr>
                <w:rFonts w:hint="eastAsia" w:ascii="宋体" w:hAnsi="宋体" w:eastAsia="宋体" w:cs="宋体"/>
                <w:sz w:val="24"/>
              </w:rPr>
              <w:t>韩文综合训练</w:t>
            </w:r>
          </w:p>
        </w:tc>
        <w:tc>
          <w:tcPr>
            <w:tcW w:w="4653" w:type="dxa"/>
            <w:vAlign w:val="center"/>
          </w:tcPr>
          <w:p w14:paraId="55B9298B">
            <w:pPr>
              <w:topLinePunct/>
              <w:contextualSpacing/>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.能</w:t>
            </w:r>
            <w:r>
              <w:rPr>
                <w:rFonts w:hint="eastAsia" w:ascii="宋体" w:hAnsi="宋体" w:eastAsia="宋体" w:cs="宋体"/>
                <w:sz w:val="24"/>
              </w:rPr>
              <w:t>模拟营销展会，掌握产品信息说明；</w:t>
            </w:r>
          </w:p>
          <w:p w14:paraId="7BE0349F">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.能</w:t>
            </w:r>
            <w:r>
              <w:rPr>
                <w:rFonts w:hint="eastAsia" w:ascii="宋体" w:hAnsi="宋体" w:eastAsia="宋体" w:cs="宋体"/>
                <w:sz w:val="24"/>
              </w:rPr>
              <w:t>模拟跨境电商，熟悉与询价、报价、发货、跟单、报关、售后等相关韩语文件的读写和处理</w:t>
            </w:r>
          </w:p>
        </w:tc>
        <w:tc>
          <w:tcPr>
            <w:tcW w:w="709" w:type="dxa"/>
            <w:vMerge w:val="continue"/>
            <w:vAlign w:val="center"/>
          </w:tcPr>
          <w:p w14:paraId="2A7FEA2D">
            <w:pPr>
              <w:topLinePunct/>
              <w:ind w:firstLine="480" w:firstLineChars="200"/>
              <w:jc w:val="center"/>
              <w:rPr>
                <w:rFonts w:ascii="宋体" w:hAnsi="宋体" w:eastAsia="宋体" w:cs="宋体"/>
                <w:sz w:val="24"/>
              </w:rPr>
            </w:pPr>
          </w:p>
        </w:tc>
      </w:tr>
    </w:tbl>
    <w:p w14:paraId="46D48814">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六、实施建议</w:t>
      </w:r>
    </w:p>
    <w:p w14:paraId="3282022A">
      <w:pPr>
        <w:topLinePunct/>
        <w:spacing w:line="276" w:lineRule="auto"/>
        <w:ind w:firstLine="482" w:firstLineChars="200"/>
        <w:jc w:val="both"/>
        <w:rPr>
          <w:rFonts w:ascii="宋体" w:hAnsi="宋体" w:eastAsia="宋体"/>
          <w:b/>
          <w:bCs/>
          <w:sz w:val="24"/>
          <w:szCs w:val="24"/>
        </w:rPr>
      </w:pPr>
      <w:r>
        <w:rPr>
          <w:rFonts w:hint="eastAsia" w:ascii="宋体" w:hAnsi="宋体" w:eastAsia="宋体"/>
          <w:b/>
          <w:bCs/>
          <w:sz w:val="24"/>
          <w:szCs w:val="24"/>
        </w:rPr>
        <w:t>（一）教学建议</w:t>
      </w:r>
    </w:p>
    <w:p w14:paraId="47DA2E3E">
      <w:pPr>
        <w:topLinePunct/>
        <w:spacing w:line="276" w:lineRule="auto"/>
        <w:ind w:firstLine="480" w:firstLineChars="200"/>
        <w:jc w:val="both"/>
        <w:rPr>
          <w:rFonts w:ascii="宋体" w:hAnsi="宋体" w:eastAsia="宋体"/>
          <w:sz w:val="24"/>
          <w:szCs w:val="24"/>
        </w:rPr>
      </w:pPr>
      <w:r>
        <w:rPr>
          <w:rFonts w:hint="eastAsia" w:ascii="宋体" w:hAnsi="宋体" w:eastAsia="宋体"/>
          <w:sz w:val="24"/>
          <w:szCs w:val="24"/>
        </w:rPr>
        <w:t>1.充分挖掘课程中的“社会责任”“服务意识”“实践创新”等思政元素，实现思想政治教育、道德素质教育和语言文化教育的有机统一。能深刻理解商务韩文阅读课程的内涵，将教学目标、教学内容、教学形式、教学方法和教学手段等聚焦于培养和发展学生的商务韩文阅读基础课程核心素养上。</w:t>
      </w:r>
    </w:p>
    <w:p w14:paraId="3AC054CE">
      <w:pPr>
        <w:topLinePunct/>
        <w:spacing w:line="276" w:lineRule="auto"/>
        <w:ind w:firstLine="480" w:firstLineChars="200"/>
        <w:jc w:val="both"/>
        <w:rPr>
          <w:rFonts w:ascii="宋体" w:hAnsi="宋体" w:eastAsia="宋体"/>
          <w:sz w:val="24"/>
          <w:szCs w:val="24"/>
        </w:rPr>
      </w:pPr>
      <w:r>
        <w:rPr>
          <w:rFonts w:hint="eastAsia" w:ascii="宋体" w:hAnsi="宋体" w:eastAsia="宋体"/>
          <w:sz w:val="24"/>
          <w:szCs w:val="24"/>
        </w:rPr>
        <w:t>2.坚持以学生为中心，从学生的兴趣和需求出发，培养学生的主体能动性。通过商务情景模拟、相关企业韩语文件阅读、韩国社交礼仪学习等，注重学生对韩国文化的理解和认知，鼓励其将所学的韩语知识应用到实际情境中，从而激发学生对韩文阅读的兴趣，培养学生的观察能力、理解能力、逻辑能力和情景运用能力。</w:t>
      </w:r>
    </w:p>
    <w:p w14:paraId="54E0B79A">
      <w:pPr>
        <w:topLinePunct/>
        <w:spacing w:line="276" w:lineRule="auto"/>
        <w:ind w:firstLine="480" w:firstLineChars="200"/>
        <w:jc w:val="both"/>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教师应采用理论学习和实践练习相结合的方法，将商务韩语实际工作任务分解为可操作的教学模块。充分利用校内商务谈判模拟空间等实训基地，结合校外实习基地和能实现产教结合的韩资企业等场所，通过运用多种教学工具，以任务的实施过程为主线，将知识点的讲解贯穿于任务的实施过程中，从而推动知识点的扩展。在商务韩文阅读的课程教学中，以模拟国际商务会议或营销谈判等形式进行实践教学，以兴趣为引导，帮助学生掌握商务韩语表达技能，提升学生应对各种商务韩语交际情境的实操能力。</w:t>
      </w:r>
    </w:p>
    <w:p w14:paraId="32CD0793">
      <w:pPr>
        <w:topLinePunct/>
        <w:spacing w:line="276" w:lineRule="auto"/>
        <w:ind w:firstLine="480" w:firstLineChars="200"/>
        <w:jc w:val="both"/>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充分利用多媒体教学手段、网络资源、商务资源，不断提高教学效果。准备多种商务会议录音或新闻报道等，讲解韩国文化和礼仪，并选取实际的商务案例，模拟商务情景，组织学生进行实际对话和小组讨论。注重训练学生的信息检索能力，提升阅读技巧和策略，从而培养其专业综合能力。</w:t>
      </w:r>
    </w:p>
    <w:p w14:paraId="295C10F8">
      <w:pPr>
        <w:topLinePunct/>
        <w:spacing w:line="276" w:lineRule="auto"/>
        <w:ind w:firstLine="480" w:firstLineChars="200"/>
        <w:jc w:val="both"/>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5.紧密联系商务韩语专业相应职业岗位的能力需求，充分利用校内外商务活动资源，邀请优秀行业人员进校参与教学。按照所需行业工作要求，加强学生职业技能培训，提高学生的商务思维和商务能力。</w:t>
      </w:r>
    </w:p>
    <w:p w14:paraId="1D121A33">
      <w:pPr>
        <w:topLinePunct/>
        <w:spacing w:line="276" w:lineRule="auto"/>
        <w:ind w:firstLine="482" w:firstLineChars="200"/>
        <w:jc w:val="both"/>
        <w:rPr>
          <w:rFonts w:ascii="宋体" w:hAnsi="宋体" w:eastAsia="宋体"/>
          <w:b/>
          <w:color w:val="000000" w:themeColor="text1"/>
          <w:sz w:val="24"/>
          <w:szCs w:val="24"/>
          <w:lang w:val="zh-CN"/>
          <w14:textFill>
            <w14:solidFill>
              <w14:schemeClr w14:val="tx1"/>
            </w14:solidFill>
          </w14:textFill>
        </w:rPr>
      </w:pPr>
      <w:r>
        <w:rPr>
          <w:rFonts w:hint="eastAsia" w:ascii="宋体" w:hAnsi="宋体" w:eastAsia="宋体"/>
          <w:b/>
          <w:color w:val="000000" w:themeColor="text1"/>
          <w:sz w:val="24"/>
          <w:szCs w:val="24"/>
          <w:lang w:val="zh-CN"/>
          <w14:textFill>
            <w14:solidFill>
              <w14:schemeClr w14:val="tx1"/>
            </w14:solidFill>
          </w14:textFill>
        </w:rPr>
        <w:t>（二）评价建议</w:t>
      </w:r>
    </w:p>
    <w:p w14:paraId="189AF7A8">
      <w:pPr>
        <w:topLinePunct/>
        <w:spacing w:line="276" w:lineRule="auto"/>
        <w:ind w:firstLine="480" w:firstLineChars="200"/>
        <w:jc w:val="both"/>
        <w:rPr>
          <w:rFonts w:ascii="宋体" w:hAnsi="宋体" w:eastAsia="宋体"/>
          <w:color w:val="FF0000"/>
          <w:sz w:val="24"/>
          <w:szCs w:val="24"/>
        </w:rPr>
      </w:pPr>
      <w:bookmarkStart w:id="0" w:name="_Hlk145579099"/>
      <w:r>
        <w:rPr>
          <w:rFonts w:ascii="宋体" w:hAnsi="宋体" w:eastAsia="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14:textFill>
            <w14:solidFill>
              <w14:schemeClr w14:val="tx1"/>
            </w14:solidFill>
          </w14:textFill>
        </w:rPr>
        <w:t>在综合评价的基础上，</w:t>
      </w:r>
      <w:r>
        <w:rPr>
          <w:rFonts w:hint="eastAsia" w:ascii="宋体" w:hAnsi="宋体" w:eastAsia="宋体"/>
          <w:color w:val="000000" w:themeColor="text1"/>
          <w:sz w:val="24"/>
          <w:szCs w:val="24"/>
          <w14:textFill>
            <w14:solidFill>
              <w14:schemeClr w14:val="tx1"/>
            </w14:solidFill>
          </w14:textFill>
        </w:rPr>
        <w:t>注重过程评价与结果评价并重、定性评价与定量评价相结合，绝对评价和相对评价相统一。树立正确的教学质量观，多关注学生的发展潜能。根据商务韩语专业的培养目标和培养理念，建立科学的评价标准。同时，利用清晰明确的评价标准，引导学生更高效开展学习任务。</w:t>
      </w:r>
    </w:p>
    <w:p w14:paraId="67010B4B">
      <w:pPr>
        <w:topLinePunct/>
        <w:spacing w:line="276" w:lineRule="auto"/>
        <w:ind w:firstLine="480" w:firstLineChars="200"/>
        <w:jc w:val="both"/>
        <w:rPr>
          <w:rFonts w:ascii="宋体" w:hAnsi="宋体" w:eastAsia="宋体"/>
          <w:sz w:val="24"/>
          <w:szCs w:val="24"/>
        </w:rPr>
      </w:pPr>
      <w:r>
        <w:rPr>
          <w:rFonts w:hint="eastAsia" w:ascii="宋体" w:hAnsi="宋体" w:eastAsia="宋体"/>
          <w:sz w:val="24"/>
          <w:szCs w:val="24"/>
        </w:rPr>
        <w:t>2.评价方式多样化。根据不同的教学内容，选择不同的评价重点；根据不同的教学目标，开展课前摸底、随堂测验、阶段测验、成果展示、活动报告等各具特色的评价形式；在教学的不同阶段，依据学生的课前预习、课堂活动、课后作业等学习表现进行综合评价。</w:t>
      </w:r>
    </w:p>
    <w:p w14:paraId="43C45E2F">
      <w:pPr>
        <w:topLinePunct/>
        <w:spacing w:line="276" w:lineRule="auto"/>
        <w:ind w:firstLine="480" w:firstLineChars="200"/>
        <w:jc w:val="both"/>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评价主体多元化。教师评价、学生互评与自我评价相结合，评价标准与学校特色，行业需求，教师的教学质量和学生职业能力相结合。要发挥教师、学生、家长、相关领域学术专家，职业技术人员以及可提供建设性建议的指导机构等不同评价主体在评价中的作用。</w:t>
      </w:r>
    </w:p>
    <w:p w14:paraId="569A3DB2">
      <w:pPr>
        <w:topLinePunct/>
        <w:spacing w:line="276" w:lineRule="auto"/>
        <w:ind w:firstLine="480" w:firstLineChars="200"/>
        <w:jc w:val="both"/>
        <w:rPr>
          <w:rFonts w:ascii="宋体" w:hAnsi="宋体" w:eastAsia="宋体"/>
          <w:sz w:val="24"/>
          <w:szCs w:val="24"/>
        </w:rPr>
      </w:pPr>
      <w:r>
        <w:rPr>
          <w:rFonts w:hint="eastAsia" w:ascii="宋体" w:hAnsi="宋体" w:eastAsia="宋体"/>
          <w:sz w:val="24"/>
          <w:szCs w:val="24"/>
        </w:rPr>
        <w:t>4.评价标准多维性。评价不仅关注学生对知识的理解和技能的掌握，更要注重运用知识在实践中解决问题的能力水平，重视职业素质的培养。平时的评分内容包括阅读理解能力、逻辑思维能力、沟通交际能力、语言表达能力、实践创新能力等方面的考核。</w:t>
      </w:r>
    </w:p>
    <w:bookmarkEnd w:id="0"/>
    <w:p w14:paraId="64155B7C">
      <w:pPr>
        <w:topLinePunct/>
        <w:spacing w:line="276" w:lineRule="auto"/>
        <w:ind w:firstLine="482" w:firstLineChars="200"/>
        <w:jc w:val="both"/>
        <w:rPr>
          <w:rFonts w:ascii="宋体" w:hAnsi="宋体" w:eastAsia="宋体"/>
          <w:b/>
          <w:bCs/>
          <w:sz w:val="24"/>
          <w:szCs w:val="24"/>
        </w:rPr>
      </w:pPr>
      <w:r>
        <w:rPr>
          <w:rFonts w:hint="eastAsia" w:ascii="宋体" w:hAnsi="宋体" w:eastAsia="宋体"/>
          <w:b/>
          <w:bCs/>
          <w:sz w:val="24"/>
          <w:szCs w:val="24"/>
        </w:rPr>
        <w:t>（三）教材编写和选用建议</w:t>
      </w:r>
    </w:p>
    <w:p w14:paraId="79AEA117">
      <w:pPr>
        <w:topLinePunct/>
        <w:spacing w:line="276" w:lineRule="auto"/>
        <w:ind w:firstLine="480" w:firstLineChars="200"/>
        <w:jc w:val="both"/>
        <w:rPr>
          <w:rFonts w:ascii="宋体" w:hAnsi="宋体" w:eastAsia="宋体"/>
          <w:sz w:val="24"/>
          <w:szCs w:val="24"/>
        </w:rPr>
      </w:pPr>
      <w:bookmarkStart w:id="1" w:name="_Hlk145579206"/>
      <w:r>
        <w:rPr>
          <w:rFonts w:ascii="宋体" w:hAnsi="宋体" w:eastAsia="宋体"/>
          <w:sz w:val="24"/>
          <w:szCs w:val="24"/>
        </w:rPr>
        <w:t>1.</w:t>
      </w:r>
      <w:r>
        <w:rPr>
          <w:rFonts w:hint="eastAsia" w:ascii="宋体" w:hAnsi="宋体" w:eastAsia="宋体"/>
          <w:sz w:val="24"/>
          <w:szCs w:val="24"/>
        </w:rPr>
        <w:t>教材编写与选用必须依据本标准。</w:t>
      </w:r>
    </w:p>
    <w:p w14:paraId="20A1F59A">
      <w:pPr>
        <w:topLinePunct/>
        <w:spacing w:line="276" w:lineRule="auto"/>
        <w:ind w:firstLine="480" w:firstLineChars="200"/>
        <w:jc w:val="both"/>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教材编写要吸纳行业、企业专家共同参与，充分考虑到当今外贸市场对复合型韩语人才的需求，对接所涉及行业需要的职业要求，邀请相关行业与企业专家共同参与，紧密贴合实际职业标准，突出韩语商务助理人员的职业素质与技能培养。</w:t>
      </w:r>
    </w:p>
    <w:p w14:paraId="0BEC960B">
      <w:pPr>
        <w:topLinePunct/>
        <w:spacing w:line="276" w:lineRule="auto"/>
        <w:ind w:firstLine="480" w:firstLineChars="200"/>
        <w:jc w:val="both"/>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教材呈现方式应符合中职生的年龄特征与认知规律，结合多媒体资源与传统教材，采取文字与图片相结合的方式来呈现教学内容，增强学习的趣味性和互动性，为学生提供思考的空间。</w:t>
      </w:r>
    </w:p>
    <w:bookmarkEnd w:id="1"/>
    <w:p w14:paraId="7674CD91">
      <w:pPr>
        <w:topLinePunct/>
        <w:spacing w:line="276" w:lineRule="auto"/>
        <w:ind w:firstLine="482" w:firstLineChars="200"/>
        <w:jc w:val="both"/>
        <w:rPr>
          <w:rFonts w:ascii="宋体" w:hAnsi="宋体" w:eastAsia="宋体"/>
          <w:b/>
          <w:bCs/>
          <w:sz w:val="24"/>
          <w:szCs w:val="24"/>
          <w:lang w:val="zh-CN"/>
        </w:rPr>
      </w:pPr>
      <w:r>
        <w:rPr>
          <w:rFonts w:hint="eastAsia" w:ascii="宋体" w:hAnsi="宋体" w:eastAsia="宋体"/>
          <w:b/>
          <w:bCs/>
          <w:sz w:val="24"/>
          <w:szCs w:val="24"/>
          <w:lang w:val="zh-CN"/>
        </w:rPr>
        <w:t>（四）课程资源开发与利用建议</w:t>
      </w:r>
    </w:p>
    <w:p w14:paraId="2D8511EB">
      <w:pPr>
        <w:topLinePunct/>
        <w:spacing w:line="276" w:lineRule="auto"/>
        <w:ind w:firstLine="480" w:firstLineChars="200"/>
        <w:jc w:val="both"/>
        <w:rPr>
          <w:rFonts w:ascii="宋体" w:hAnsi="宋体" w:eastAsia="宋体"/>
          <w:sz w:val="24"/>
          <w:szCs w:val="24"/>
        </w:rPr>
      </w:pPr>
      <w:r>
        <w:rPr>
          <w:rFonts w:hint="eastAsia" w:ascii="宋体" w:hAnsi="宋体" w:eastAsia="宋体"/>
          <w:sz w:val="24"/>
          <w:szCs w:val="24"/>
        </w:rPr>
        <w:t>1.材料资料。教学现场应配置符合国家标准的专业教材及文献资料，提供教学课件、学术报告等教学资源。建议引入来往商务公函与信件、会议报告、采购订单、营销合同等企业资源，强化知识与技能学习的真实性和规范性。</w:t>
      </w:r>
    </w:p>
    <w:p w14:paraId="39F347FA">
      <w:pPr>
        <w:topLinePunct/>
        <w:spacing w:line="276" w:lineRule="auto"/>
        <w:ind w:firstLine="480" w:firstLineChars="200"/>
        <w:jc w:val="both"/>
        <w:rPr>
          <w:rFonts w:ascii="宋体" w:hAnsi="宋体" w:eastAsia="宋体"/>
          <w:sz w:val="24"/>
          <w:szCs w:val="24"/>
        </w:rPr>
      </w:pPr>
      <w:r>
        <w:rPr>
          <w:rFonts w:hint="eastAsia" w:ascii="宋体" w:hAnsi="宋体" w:eastAsia="宋体"/>
          <w:sz w:val="24"/>
          <w:szCs w:val="24"/>
        </w:rPr>
        <w:t>2.信息资源。投影、录像等资源有利于创设形象生动的学习环境，激发学生的学习兴趣，促进学生对知识的理解和掌握。建议联合企业加强课程资源的开发，建立多媒体课程资源的数据库，努力实现校企间多媒体资源共享。注重挖掘可以模拟商务谈判环境的校外实训场地、图书馆资源、在线教学讨论平台等优质资源。建议信息手段：电脑、平板电脑、韩语搜索引擎</w:t>
      </w:r>
      <w:r>
        <w:rPr>
          <w:rFonts w:ascii="宋体" w:hAnsi="宋体" w:eastAsia="宋体"/>
          <w:sz w:val="24"/>
          <w:szCs w:val="24"/>
        </w:rPr>
        <w:t>APP</w:t>
      </w:r>
      <w:r>
        <w:rPr>
          <w:rFonts w:hint="eastAsia" w:ascii="宋体" w:hAnsi="宋体" w:eastAsia="宋体"/>
          <w:sz w:val="24"/>
          <w:szCs w:val="24"/>
        </w:rPr>
        <w:t>、Papago翻译软件、NAVER平台等。</w:t>
      </w:r>
    </w:p>
    <w:p w14:paraId="78B67F70">
      <w:pPr>
        <w:topLinePunct/>
        <w:spacing w:line="276" w:lineRule="auto"/>
        <w:ind w:firstLine="480" w:firstLineChars="200"/>
        <w:jc w:val="both"/>
        <w:rPr>
          <w:rFonts w:ascii="宋体" w:hAnsi="宋体" w:eastAsia="宋体"/>
          <w:sz w:val="24"/>
          <w:szCs w:val="24"/>
          <w:lang w:val="zh-CN"/>
        </w:rPr>
      </w:pPr>
      <w:r>
        <w:rPr>
          <w:rFonts w:hint="eastAsia" w:ascii="宋体" w:hAnsi="宋体" w:eastAsia="宋体"/>
          <w:sz w:val="24"/>
          <w:szCs w:val="24"/>
        </w:rPr>
        <w:t>3.实物资源。</w:t>
      </w:r>
      <w:r>
        <w:rPr>
          <w:rFonts w:hint="eastAsia" w:ascii="宋体" w:hAnsi="宋体" w:eastAsia="宋体"/>
          <w:color w:val="000000" w:themeColor="text1"/>
          <w:sz w:val="24"/>
          <w:szCs w:val="24"/>
          <w14:textFill>
            <w14:solidFill>
              <w14:schemeClr w14:val="tx1"/>
            </w14:solidFill>
          </w14:textFill>
        </w:rPr>
        <w:t>充分利用韩语语言教学中常规教学工具，借助实物、图片、海报等具像演示手段丰富课堂活动，提高学习趣味性，促进学生间的互动与交流，增加学生的课堂参与度。有助于学生联系商务环境中的工作场景，体验真实的工作流程与内容。</w:t>
      </w:r>
      <w:r>
        <w:rPr>
          <w:rFonts w:hint="eastAsia" w:ascii="宋体" w:hAnsi="宋体" w:eastAsia="宋体"/>
          <w:sz w:val="24"/>
          <w:szCs w:val="24"/>
        </w:rPr>
        <w:t>建议使用资源：学习卡片、照片、标签、海报、彩笔、各种办公室用品等。</w:t>
      </w:r>
    </w:p>
    <w:p w14:paraId="61911DE0">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七、说明</w:t>
      </w:r>
    </w:p>
    <w:p w14:paraId="35933B3C">
      <w:pPr>
        <w:pStyle w:val="3"/>
        <w:ind w:firstLine="480" w:firstLineChars="200"/>
        <w:jc w:val="both"/>
        <w:rPr>
          <w:rFonts w:ascii="宋体" w:hAnsi="宋体" w:eastAsia="宋体" w:cs="宋体"/>
          <w:sz w:val="24"/>
        </w:rPr>
      </w:pPr>
      <w:bookmarkStart w:id="2" w:name="_Hlk145579269"/>
      <w:r>
        <w:rPr>
          <w:rFonts w:hint="eastAsia" w:ascii="宋体" w:hAnsi="宋体" w:eastAsia="宋体" w:cs="宋体"/>
          <w:sz w:val="24"/>
        </w:rPr>
        <w:t>本标准依据《江苏省中等职业学校国际贸易类商务韩语专业指导性人才培养方案》编制，适用于江苏省中等职业学校国际贸易类商务韩语专业（三年制）学生。</w:t>
      </w:r>
    </w:p>
    <w:p w14:paraId="599EA710">
      <w:pPr>
        <w:pStyle w:val="3"/>
        <w:ind w:firstLine="480" w:firstLineChars="200"/>
        <w:jc w:val="both"/>
        <w:rPr>
          <w:rFonts w:ascii="宋体" w:hAnsi="宋体" w:eastAsia="宋体" w:cs="宋体"/>
          <w:sz w:val="24"/>
        </w:rPr>
      </w:pPr>
    </w:p>
    <w:bookmarkEnd w:id="2"/>
    <w:p w14:paraId="7266083B">
      <w:pPr>
        <w:spacing w:line="400" w:lineRule="atLeast"/>
        <w:ind w:firstLine="482" w:firstLineChars="200"/>
        <w:jc w:val="both"/>
        <w:rPr>
          <w:rFonts w:ascii="宋体" w:hAnsi="宋体" w:eastAsia="宋体" w:cs="宋体"/>
          <w:sz w:val="24"/>
        </w:rPr>
      </w:pPr>
      <w:r>
        <w:rPr>
          <w:rFonts w:hint="eastAsia" w:ascii="宋体" w:hAnsi="宋体" w:eastAsia="宋体" w:cs="宋体"/>
          <w:b/>
          <w:bCs/>
          <w:sz w:val="24"/>
        </w:rPr>
        <w:t>（开发人员及单位：</w:t>
      </w:r>
      <w:r>
        <w:rPr>
          <w:rFonts w:hint="eastAsia" w:ascii="宋体" w:hAnsi="宋体" w:eastAsia="宋体" w:cs="宋体"/>
          <w:color w:val="000000" w:themeColor="text1"/>
          <w:sz w:val="24"/>
          <w14:textFill>
            <w14:solidFill>
              <w14:schemeClr w14:val="tx1"/>
            </w14:solidFill>
          </w14:textFill>
        </w:rPr>
        <w:t>郭楠楠、王磊，盐城市经贸高级职业学校；魏衍科，宜兴高等职业技术学校；</w:t>
      </w:r>
      <w:r>
        <w:rPr>
          <w:rFonts w:ascii="宋体" w:hAnsi="宋体" w:eastAsia="宋体" w:cs="宋体"/>
          <w:color w:val="000000" w:themeColor="text1"/>
          <w:sz w:val="24"/>
          <w14:textFill>
            <w14:solidFill>
              <w14:schemeClr w14:val="tx1"/>
            </w14:solidFill>
          </w14:textFill>
        </w:rPr>
        <w:t>李敏</w:t>
      </w:r>
      <w:r>
        <w:rPr>
          <w:rFonts w:hint="eastAsia" w:ascii="宋体" w:hAnsi="宋体" w:eastAsia="宋体" w:cs="宋体"/>
          <w:color w:val="000000" w:themeColor="text1"/>
          <w:sz w:val="24"/>
          <w14:textFill>
            <w14:solidFill>
              <w14:schemeClr w14:val="tx1"/>
            </w14:solidFill>
          </w14:textFill>
        </w:rPr>
        <w:t>、王进</w:t>
      </w:r>
      <w:r>
        <w:rPr>
          <w:rFonts w:ascii="宋体" w:hAnsi="宋体" w:eastAsia="宋体" w:cs="宋体"/>
          <w:color w:val="000000" w:themeColor="text1"/>
          <w:sz w:val="24"/>
          <w14:textFill>
            <w14:solidFill>
              <w14:schemeClr w14:val="tx1"/>
            </w14:solidFill>
          </w14:textFill>
        </w:rPr>
        <w:t>，扬州旅游商贸学校</w:t>
      </w:r>
      <w:r>
        <w:rPr>
          <w:rFonts w:hint="eastAsia" w:ascii="宋体" w:hAnsi="宋体" w:eastAsia="宋体" w:cs="宋体"/>
          <w:color w:val="000000" w:themeColor="text1"/>
          <w:sz w:val="24"/>
          <w14:textFill>
            <w14:solidFill>
              <w14:schemeClr w14:val="tx1"/>
            </w14:solidFill>
          </w14:textFill>
        </w:rPr>
        <w:t>；吴娜、殷佳茜，南京慕学教育科技有限公司）</w:t>
      </w: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2599314"/>
      <w:docPartObj>
        <w:docPartGallery w:val="AutoText"/>
      </w:docPartObj>
    </w:sdtPr>
    <w:sdtContent>
      <w:p w14:paraId="11CC3C1D">
        <w:pPr>
          <w:pStyle w:val="6"/>
          <w:jc w:val="center"/>
        </w:pPr>
        <w:r>
          <w:fldChar w:fldCharType="begin"/>
        </w:r>
        <w:r>
          <w:instrText xml:space="preserve">PAGE   \* MERGEFORMAT</w:instrText>
        </w:r>
        <w:r>
          <w:fldChar w:fldCharType="separate"/>
        </w:r>
        <w:r>
          <w:rPr>
            <w:lang w:val="zh-CN"/>
          </w:rPr>
          <w:t>1</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6735"/>
    <w:rsid w:val="00012DD3"/>
    <w:rsid w:val="0001676B"/>
    <w:rsid w:val="00016F3C"/>
    <w:rsid w:val="00017A19"/>
    <w:rsid w:val="00023635"/>
    <w:rsid w:val="0002516A"/>
    <w:rsid w:val="00031692"/>
    <w:rsid w:val="0003351F"/>
    <w:rsid w:val="00034372"/>
    <w:rsid w:val="000379E9"/>
    <w:rsid w:val="000461B2"/>
    <w:rsid w:val="00046D80"/>
    <w:rsid w:val="00047E3F"/>
    <w:rsid w:val="00055902"/>
    <w:rsid w:val="00055AB5"/>
    <w:rsid w:val="00056A9D"/>
    <w:rsid w:val="000661C9"/>
    <w:rsid w:val="00066541"/>
    <w:rsid w:val="00067303"/>
    <w:rsid w:val="00073465"/>
    <w:rsid w:val="0007632A"/>
    <w:rsid w:val="00081706"/>
    <w:rsid w:val="00084569"/>
    <w:rsid w:val="00084BE0"/>
    <w:rsid w:val="000861B3"/>
    <w:rsid w:val="00087235"/>
    <w:rsid w:val="00090BCB"/>
    <w:rsid w:val="000919D4"/>
    <w:rsid w:val="00095831"/>
    <w:rsid w:val="000958BB"/>
    <w:rsid w:val="00095DFA"/>
    <w:rsid w:val="00097D20"/>
    <w:rsid w:val="000A11E6"/>
    <w:rsid w:val="000A2621"/>
    <w:rsid w:val="000A2C3C"/>
    <w:rsid w:val="000A32AD"/>
    <w:rsid w:val="000A53D5"/>
    <w:rsid w:val="000A5B31"/>
    <w:rsid w:val="000B01B2"/>
    <w:rsid w:val="000C1965"/>
    <w:rsid w:val="000C27EA"/>
    <w:rsid w:val="000C617E"/>
    <w:rsid w:val="000C6636"/>
    <w:rsid w:val="000C76D0"/>
    <w:rsid w:val="000C7BCC"/>
    <w:rsid w:val="000C7C3B"/>
    <w:rsid w:val="000C7D51"/>
    <w:rsid w:val="000D2B82"/>
    <w:rsid w:val="000D341E"/>
    <w:rsid w:val="000E1129"/>
    <w:rsid w:val="000E1E8A"/>
    <w:rsid w:val="000E716A"/>
    <w:rsid w:val="000F21F8"/>
    <w:rsid w:val="000F4345"/>
    <w:rsid w:val="000F5E2D"/>
    <w:rsid w:val="00100B3C"/>
    <w:rsid w:val="001021EA"/>
    <w:rsid w:val="0010280F"/>
    <w:rsid w:val="00104C72"/>
    <w:rsid w:val="00114383"/>
    <w:rsid w:val="0011534D"/>
    <w:rsid w:val="00117545"/>
    <w:rsid w:val="00121727"/>
    <w:rsid w:val="00122072"/>
    <w:rsid w:val="00123988"/>
    <w:rsid w:val="0012440D"/>
    <w:rsid w:val="00126B73"/>
    <w:rsid w:val="00133FF5"/>
    <w:rsid w:val="00135253"/>
    <w:rsid w:val="0013750E"/>
    <w:rsid w:val="00137C5D"/>
    <w:rsid w:val="00150516"/>
    <w:rsid w:val="00153918"/>
    <w:rsid w:val="001567EC"/>
    <w:rsid w:val="00164952"/>
    <w:rsid w:val="00164A7A"/>
    <w:rsid w:val="001651ED"/>
    <w:rsid w:val="001652D4"/>
    <w:rsid w:val="00171E13"/>
    <w:rsid w:val="001721CF"/>
    <w:rsid w:val="00172235"/>
    <w:rsid w:val="00173E2F"/>
    <w:rsid w:val="00176458"/>
    <w:rsid w:val="001811A2"/>
    <w:rsid w:val="0018158E"/>
    <w:rsid w:val="0018340C"/>
    <w:rsid w:val="00184C98"/>
    <w:rsid w:val="00187DBD"/>
    <w:rsid w:val="0019597C"/>
    <w:rsid w:val="00196E46"/>
    <w:rsid w:val="001A0F84"/>
    <w:rsid w:val="001A26DD"/>
    <w:rsid w:val="001B0286"/>
    <w:rsid w:val="001C44A7"/>
    <w:rsid w:val="001C69C6"/>
    <w:rsid w:val="001C757A"/>
    <w:rsid w:val="001C77ED"/>
    <w:rsid w:val="001D1D4B"/>
    <w:rsid w:val="001D40AC"/>
    <w:rsid w:val="001E15EC"/>
    <w:rsid w:val="001E2A1D"/>
    <w:rsid w:val="001E7804"/>
    <w:rsid w:val="001F0150"/>
    <w:rsid w:val="001F1248"/>
    <w:rsid w:val="001F5A12"/>
    <w:rsid w:val="001F64AE"/>
    <w:rsid w:val="001F7A3C"/>
    <w:rsid w:val="0020031D"/>
    <w:rsid w:val="00201666"/>
    <w:rsid w:val="0020307F"/>
    <w:rsid w:val="002061DE"/>
    <w:rsid w:val="002078CD"/>
    <w:rsid w:val="0021053A"/>
    <w:rsid w:val="00212AA2"/>
    <w:rsid w:val="00212EE7"/>
    <w:rsid w:val="002144C9"/>
    <w:rsid w:val="00223993"/>
    <w:rsid w:val="00225528"/>
    <w:rsid w:val="002262E7"/>
    <w:rsid w:val="00232CEE"/>
    <w:rsid w:val="002353B9"/>
    <w:rsid w:val="00237F74"/>
    <w:rsid w:val="00240E85"/>
    <w:rsid w:val="0024179B"/>
    <w:rsid w:val="0024417E"/>
    <w:rsid w:val="00245586"/>
    <w:rsid w:val="00245961"/>
    <w:rsid w:val="00247D6B"/>
    <w:rsid w:val="002524CF"/>
    <w:rsid w:val="00254F6A"/>
    <w:rsid w:val="00255580"/>
    <w:rsid w:val="002558D8"/>
    <w:rsid w:val="00260DBD"/>
    <w:rsid w:val="00261ED5"/>
    <w:rsid w:val="00263878"/>
    <w:rsid w:val="00266E87"/>
    <w:rsid w:val="00271F72"/>
    <w:rsid w:val="00272586"/>
    <w:rsid w:val="002744FC"/>
    <w:rsid w:val="00277703"/>
    <w:rsid w:val="00280DFD"/>
    <w:rsid w:val="00281CAA"/>
    <w:rsid w:val="00282BC1"/>
    <w:rsid w:val="00283ECF"/>
    <w:rsid w:val="00284BAC"/>
    <w:rsid w:val="002857C6"/>
    <w:rsid w:val="00290186"/>
    <w:rsid w:val="00292529"/>
    <w:rsid w:val="0029354E"/>
    <w:rsid w:val="00296A0D"/>
    <w:rsid w:val="0029791A"/>
    <w:rsid w:val="00297FCE"/>
    <w:rsid w:val="002A2475"/>
    <w:rsid w:val="002A35B2"/>
    <w:rsid w:val="002A406F"/>
    <w:rsid w:val="002A5B7B"/>
    <w:rsid w:val="002A6F0A"/>
    <w:rsid w:val="002B0AF5"/>
    <w:rsid w:val="002B0E02"/>
    <w:rsid w:val="002B14B8"/>
    <w:rsid w:val="002B194C"/>
    <w:rsid w:val="002B3DD1"/>
    <w:rsid w:val="002B7D72"/>
    <w:rsid w:val="002C5624"/>
    <w:rsid w:val="002D23ED"/>
    <w:rsid w:val="002E30FC"/>
    <w:rsid w:val="002F2F36"/>
    <w:rsid w:val="002F4557"/>
    <w:rsid w:val="003023D9"/>
    <w:rsid w:val="00304480"/>
    <w:rsid w:val="00307859"/>
    <w:rsid w:val="00314420"/>
    <w:rsid w:val="0032141A"/>
    <w:rsid w:val="00321F88"/>
    <w:rsid w:val="00322773"/>
    <w:rsid w:val="00331375"/>
    <w:rsid w:val="0033218D"/>
    <w:rsid w:val="003340AB"/>
    <w:rsid w:val="0033552F"/>
    <w:rsid w:val="003358FD"/>
    <w:rsid w:val="003364DC"/>
    <w:rsid w:val="00336919"/>
    <w:rsid w:val="00337868"/>
    <w:rsid w:val="0034057F"/>
    <w:rsid w:val="00341B24"/>
    <w:rsid w:val="00342E64"/>
    <w:rsid w:val="00343595"/>
    <w:rsid w:val="00343775"/>
    <w:rsid w:val="0035062C"/>
    <w:rsid w:val="00356BA0"/>
    <w:rsid w:val="00360318"/>
    <w:rsid w:val="00363C21"/>
    <w:rsid w:val="00370C88"/>
    <w:rsid w:val="00372ADE"/>
    <w:rsid w:val="00372DC3"/>
    <w:rsid w:val="0038168A"/>
    <w:rsid w:val="003839E8"/>
    <w:rsid w:val="0039010B"/>
    <w:rsid w:val="00390FC8"/>
    <w:rsid w:val="00391D88"/>
    <w:rsid w:val="00392457"/>
    <w:rsid w:val="003949B6"/>
    <w:rsid w:val="00395079"/>
    <w:rsid w:val="003969AF"/>
    <w:rsid w:val="003A2C00"/>
    <w:rsid w:val="003A46FB"/>
    <w:rsid w:val="003A517E"/>
    <w:rsid w:val="003A5709"/>
    <w:rsid w:val="003B10D9"/>
    <w:rsid w:val="003B26CB"/>
    <w:rsid w:val="003B4223"/>
    <w:rsid w:val="003B7B66"/>
    <w:rsid w:val="003C3574"/>
    <w:rsid w:val="003C4FE7"/>
    <w:rsid w:val="003C5AD1"/>
    <w:rsid w:val="003D2C37"/>
    <w:rsid w:val="003D3DC0"/>
    <w:rsid w:val="003D5F69"/>
    <w:rsid w:val="003D7F37"/>
    <w:rsid w:val="003E0D44"/>
    <w:rsid w:val="003E21F9"/>
    <w:rsid w:val="003E53A3"/>
    <w:rsid w:val="003F1027"/>
    <w:rsid w:val="003F1A66"/>
    <w:rsid w:val="003F34E2"/>
    <w:rsid w:val="003F4E00"/>
    <w:rsid w:val="003F5953"/>
    <w:rsid w:val="003F688B"/>
    <w:rsid w:val="004052CA"/>
    <w:rsid w:val="00406363"/>
    <w:rsid w:val="004071F8"/>
    <w:rsid w:val="0041199B"/>
    <w:rsid w:val="0042430D"/>
    <w:rsid w:val="00425270"/>
    <w:rsid w:val="00427788"/>
    <w:rsid w:val="00431D82"/>
    <w:rsid w:val="0043351B"/>
    <w:rsid w:val="00434D79"/>
    <w:rsid w:val="00435A91"/>
    <w:rsid w:val="00440285"/>
    <w:rsid w:val="00441DC1"/>
    <w:rsid w:val="00444A1F"/>
    <w:rsid w:val="00445B79"/>
    <w:rsid w:val="00447BD8"/>
    <w:rsid w:val="004507CD"/>
    <w:rsid w:val="004531F3"/>
    <w:rsid w:val="00462E45"/>
    <w:rsid w:val="00464CEB"/>
    <w:rsid w:val="0046505B"/>
    <w:rsid w:val="004661C4"/>
    <w:rsid w:val="0047045C"/>
    <w:rsid w:val="00470A71"/>
    <w:rsid w:val="0047482B"/>
    <w:rsid w:val="00481605"/>
    <w:rsid w:val="004834D0"/>
    <w:rsid w:val="00485799"/>
    <w:rsid w:val="00487B6D"/>
    <w:rsid w:val="00491971"/>
    <w:rsid w:val="00495AC3"/>
    <w:rsid w:val="004A0967"/>
    <w:rsid w:val="004A418D"/>
    <w:rsid w:val="004A48FF"/>
    <w:rsid w:val="004A55A6"/>
    <w:rsid w:val="004B2369"/>
    <w:rsid w:val="004B44DB"/>
    <w:rsid w:val="004B4EDF"/>
    <w:rsid w:val="004B522D"/>
    <w:rsid w:val="004B689D"/>
    <w:rsid w:val="004C0C3A"/>
    <w:rsid w:val="004C0E2C"/>
    <w:rsid w:val="004C1C6F"/>
    <w:rsid w:val="004C1E24"/>
    <w:rsid w:val="004C232A"/>
    <w:rsid w:val="004C5306"/>
    <w:rsid w:val="004C5BD8"/>
    <w:rsid w:val="004D0F5C"/>
    <w:rsid w:val="004D2698"/>
    <w:rsid w:val="004D735C"/>
    <w:rsid w:val="004D74EB"/>
    <w:rsid w:val="004E0F91"/>
    <w:rsid w:val="004E140D"/>
    <w:rsid w:val="004E261C"/>
    <w:rsid w:val="004E35AC"/>
    <w:rsid w:val="004E407E"/>
    <w:rsid w:val="004E4783"/>
    <w:rsid w:val="004E4D19"/>
    <w:rsid w:val="004E5E1A"/>
    <w:rsid w:val="004F04B7"/>
    <w:rsid w:val="004F0718"/>
    <w:rsid w:val="004F19CE"/>
    <w:rsid w:val="004F2CDD"/>
    <w:rsid w:val="004F2D61"/>
    <w:rsid w:val="00501241"/>
    <w:rsid w:val="005046A4"/>
    <w:rsid w:val="00505178"/>
    <w:rsid w:val="005054E6"/>
    <w:rsid w:val="00506106"/>
    <w:rsid w:val="0051004F"/>
    <w:rsid w:val="00511DFF"/>
    <w:rsid w:val="0051472C"/>
    <w:rsid w:val="00514ACC"/>
    <w:rsid w:val="0051730D"/>
    <w:rsid w:val="005219CA"/>
    <w:rsid w:val="00522BDA"/>
    <w:rsid w:val="00522C90"/>
    <w:rsid w:val="00525C65"/>
    <w:rsid w:val="00526E11"/>
    <w:rsid w:val="00526EE9"/>
    <w:rsid w:val="00530B75"/>
    <w:rsid w:val="00530FA2"/>
    <w:rsid w:val="0053150F"/>
    <w:rsid w:val="00534B99"/>
    <w:rsid w:val="00535ECB"/>
    <w:rsid w:val="005411B6"/>
    <w:rsid w:val="0054434B"/>
    <w:rsid w:val="00546490"/>
    <w:rsid w:val="005477C2"/>
    <w:rsid w:val="0055127F"/>
    <w:rsid w:val="00554BB8"/>
    <w:rsid w:val="005558E0"/>
    <w:rsid w:val="00556967"/>
    <w:rsid w:val="005569D2"/>
    <w:rsid w:val="0056396E"/>
    <w:rsid w:val="00565815"/>
    <w:rsid w:val="00567591"/>
    <w:rsid w:val="00570956"/>
    <w:rsid w:val="00571009"/>
    <w:rsid w:val="00575F29"/>
    <w:rsid w:val="00576AA8"/>
    <w:rsid w:val="005823E1"/>
    <w:rsid w:val="0058360E"/>
    <w:rsid w:val="00594E01"/>
    <w:rsid w:val="00595C78"/>
    <w:rsid w:val="00596B35"/>
    <w:rsid w:val="005A04AD"/>
    <w:rsid w:val="005A79EE"/>
    <w:rsid w:val="005B2C76"/>
    <w:rsid w:val="005B791D"/>
    <w:rsid w:val="005C2617"/>
    <w:rsid w:val="005C58F2"/>
    <w:rsid w:val="005C621B"/>
    <w:rsid w:val="005E158F"/>
    <w:rsid w:val="005E1E66"/>
    <w:rsid w:val="005E2806"/>
    <w:rsid w:val="005E29B2"/>
    <w:rsid w:val="005E39DA"/>
    <w:rsid w:val="005F368A"/>
    <w:rsid w:val="005F58BD"/>
    <w:rsid w:val="005F5950"/>
    <w:rsid w:val="005F7023"/>
    <w:rsid w:val="00601CAF"/>
    <w:rsid w:val="00602F36"/>
    <w:rsid w:val="00603028"/>
    <w:rsid w:val="00603D29"/>
    <w:rsid w:val="006043AF"/>
    <w:rsid w:val="00607443"/>
    <w:rsid w:val="00607A1F"/>
    <w:rsid w:val="006115C6"/>
    <w:rsid w:val="00612183"/>
    <w:rsid w:val="00612C00"/>
    <w:rsid w:val="00613E1F"/>
    <w:rsid w:val="00615A68"/>
    <w:rsid w:val="00616455"/>
    <w:rsid w:val="00617635"/>
    <w:rsid w:val="00620AA1"/>
    <w:rsid w:val="0062111C"/>
    <w:rsid w:val="00621D7C"/>
    <w:rsid w:val="00626ED9"/>
    <w:rsid w:val="006306E0"/>
    <w:rsid w:val="0063490F"/>
    <w:rsid w:val="00637287"/>
    <w:rsid w:val="006429C2"/>
    <w:rsid w:val="00642B06"/>
    <w:rsid w:val="00644438"/>
    <w:rsid w:val="00644B83"/>
    <w:rsid w:val="0064659A"/>
    <w:rsid w:val="0065008E"/>
    <w:rsid w:val="00657531"/>
    <w:rsid w:val="0065791E"/>
    <w:rsid w:val="00663E40"/>
    <w:rsid w:val="00663F5A"/>
    <w:rsid w:val="00664DC3"/>
    <w:rsid w:val="00666B06"/>
    <w:rsid w:val="00674F63"/>
    <w:rsid w:val="00687CC4"/>
    <w:rsid w:val="00690E02"/>
    <w:rsid w:val="006915B3"/>
    <w:rsid w:val="00691E9F"/>
    <w:rsid w:val="0069364E"/>
    <w:rsid w:val="00694836"/>
    <w:rsid w:val="0069587D"/>
    <w:rsid w:val="006968DE"/>
    <w:rsid w:val="006A0097"/>
    <w:rsid w:val="006A0517"/>
    <w:rsid w:val="006A0D9C"/>
    <w:rsid w:val="006A1408"/>
    <w:rsid w:val="006A2860"/>
    <w:rsid w:val="006A4072"/>
    <w:rsid w:val="006A7E72"/>
    <w:rsid w:val="006B0035"/>
    <w:rsid w:val="006B30B2"/>
    <w:rsid w:val="006B365C"/>
    <w:rsid w:val="006C137B"/>
    <w:rsid w:val="006C5618"/>
    <w:rsid w:val="006D0582"/>
    <w:rsid w:val="006D65E6"/>
    <w:rsid w:val="006D76D3"/>
    <w:rsid w:val="006E3CE2"/>
    <w:rsid w:val="006E4C4F"/>
    <w:rsid w:val="006F477D"/>
    <w:rsid w:val="006F6402"/>
    <w:rsid w:val="006F71B4"/>
    <w:rsid w:val="007002DD"/>
    <w:rsid w:val="00700D0C"/>
    <w:rsid w:val="0070266A"/>
    <w:rsid w:val="00712271"/>
    <w:rsid w:val="00720FD7"/>
    <w:rsid w:val="00724858"/>
    <w:rsid w:val="0073015F"/>
    <w:rsid w:val="00734AA6"/>
    <w:rsid w:val="007359B3"/>
    <w:rsid w:val="00741AD1"/>
    <w:rsid w:val="00742329"/>
    <w:rsid w:val="00743709"/>
    <w:rsid w:val="007464BC"/>
    <w:rsid w:val="00751D99"/>
    <w:rsid w:val="00752324"/>
    <w:rsid w:val="0075675B"/>
    <w:rsid w:val="00765127"/>
    <w:rsid w:val="0076612B"/>
    <w:rsid w:val="00766A24"/>
    <w:rsid w:val="00771CEE"/>
    <w:rsid w:val="0077392E"/>
    <w:rsid w:val="00777AAA"/>
    <w:rsid w:val="007830B3"/>
    <w:rsid w:val="007877BF"/>
    <w:rsid w:val="00791066"/>
    <w:rsid w:val="0079170C"/>
    <w:rsid w:val="00791EBE"/>
    <w:rsid w:val="00796D20"/>
    <w:rsid w:val="007A411A"/>
    <w:rsid w:val="007A42D3"/>
    <w:rsid w:val="007A457A"/>
    <w:rsid w:val="007A644D"/>
    <w:rsid w:val="007A774D"/>
    <w:rsid w:val="007B038B"/>
    <w:rsid w:val="007B166C"/>
    <w:rsid w:val="007B18D4"/>
    <w:rsid w:val="007B1916"/>
    <w:rsid w:val="007B1EE0"/>
    <w:rsid w:val="007B20C6"/>
    <w:rsid w:val="007B2C44"/>
    <w:rsid w:val="007B3C22"/>
    <w:rsid w:val="007B589C"/>
    <w:rsid w:val="007C0A27"/>
    <w:rsid w:val="007C0F49"/>
    <w:rsid w:val="007C1208"/>
    <w:rsid w:val="007C39F4"/>
    <w:rsid w:val="007C3E08"/>
    <w:rsid w:val="007C483B"/>
    <w:rsid w:val="007C5576"/>
    <w:rsid w:val="007C5DDA"/>
    <w:rsid w:val="007E14E9"/>
    <w:rsid w:val="007E14EC"/>
    <w:rsid w:val="007E41F6"/>
    <w:rsid w:val="007E5B5A"/>
    <w:rsid w:val="007F3632"/>
    <w:rsid w:val="007F3F2F"/>
    <w:rsid w:val="007F4741"/>
    <w:rsid w:val="007F6089"/>
    <w:rsid w:val="00801A57"/>
    <w:rsid w:val="008068AF"/>
    <w:rsid w:val="00807BF2"/>
    <w:rsid w:val="00815052"/>
    <w:rsid w:val="00816EE0"/>
    <w:rsid w:val="008172BE"/>
    <w:rsid w:val="00817341"/>
    <w:rsid w:val="00817743"/>
    <w:rsid w:val="00823114"/>
    <w:rsid w:val="00827288"/>
    <w:rsid w:val="00827C56"/>
    <w:rsid w:val="008349B6"/>
    <w:rsid w:val="00834F7E"/>
    <w:rsid w:val="008354F4"/>
    <w:rsid w:val="00835ECA"/>
    <w:rsid w:val="00837F3D"/>
    <w:rsid w:val="00843B63"/>
    <w:rsid w:val="00847EED"/>
    <w:rsid w:val="008533DC"/>
    <w:rsid w:val="0085414F"/>
    <w:rsid w:val="00855ACC"/>
    <w:rsid w:val="008576DA"/>
    <w:rsid w:val="008614C7"/>
    <w:rsid w:val="0086409B"/>
    <w:rsid w:val="00865709"/>
    <w:rsid w:val="00867B9B"/>
    <w:rsid w:val="00870ECA"/>
    <w:rsid w:val="0087310F"/>
    <w:rsid w:val="00874161"/>
    <w:rsid w:val="00875FF0"/>
    <w:rsid w:val="00877CC9"/>
    <w:rsid w:val="00880344"/>
    <w:rsid w:val="008824B1"/>
    <w:rsid w:val="0088362D"/>
    <w:rsid w:val="00885955"/>
    <w:rsid w:val="008862EE"/>
    <w:rsid w:val="00887063"/>
    <w:rsid w:val="008877C3"/>
    <w:rsid w:val="0089060B"/>
    <w:rsid w:val="0089292C"/>
    <w:rsid w:val="008A2238"/>
    <w:rsid w:val="008A3EA4"/>
    <w:rsid w:val="008A4566"/>
    <w:rsid w:val="008A60AE"/>
    <w:rsid w:val="008A7EFF"/>
    <w:rsid w:val="008B56C8"/>
    <w:rsid w:val="008C13A9"/>
    <w:rsid w:val="008C239C"/>
    <w:rsid w:val="008C39C4"/>
    <w:rsid w:val="008C3C10"/>
    <w:rsid w:val="008C5620"/>
    <w:rsid w:val="008D0BFE"/>
    <w:rsid w:val="008D4CFF"/>
    <w:rsid w:val="008E0819"/>
    <w:rsid w:val="008E7D72"/>
    <w:rsid w:val="008F0047"/>
    <w:rsid w:val="008F5371"/>
    <w:rsid w:val="00900166"/>
    <w:rsid w:val="0090141D"/>
    <w:rsid w:val="009018ED"/>
    <w:rsid w:val="00910690"/>
    <w:rsid w:val="00916A80"/>
    <w:rsid w:val="00921620"/>
    <w:rsid w:val="00921FA5"/>
    <w:rsid w:val="00922A43"/>
    <w:rsid w:val="00924FCC"/>
    <w:rsid w:val="00927852"/>
    <w:rsid w:val="009348EA"/>
    <w:rsid w:val="0093628B"/>
    <w:rsid w:val="009368E8"/>
    <w:rsid w:val="009423A8"/>
    <w:rsid w:val="00942DC3"/>
    <w:rsid w:val="00947444"/>
    <w:rsid w:val="009511A1"/>
    <w:rsid w:val="0095343A"/>
    <w:rsid w:val="00953D5D"/>
    <w:rsid w:val="00955E76"/>
    <w:rsid w:val="00957DEB"/>
    <w:rsid w:val="009632B0"/>
    <w:rsid w:val="00963613"/>
    <w:rsid w:val="00963B9B"/>
    <w:rsid w:val="00963DFF"/>
    <w:rsid w:val="00963E2A"/>
    <w:rsid w:val="009660B7"/>
    <w:rsid w:val="009662D5"/>
    <w:rsid w:val="00970374"/>
    <w:rsid w:val="00975D4B"/>
    <w:rsid w:val="00976B9F"/>
    <w:rsid w:val="00976DB5"/>
    <w:rsid w:val="00976F5C"/>
    <w:rsid w:val="009834F6"/>
    <w:rsid w:val="00987A74"/>
    <w:rsid w:val="009905BE"/>
    <w:rsid w:val="0099120D"/>
    <w:rsid w:val="00992704"/>
    <w:rsid w:val="00994F4C"/>
    <w:rsid w:val="0099661A"/>
    <w:rsid w:val="009A1CE7"/>
    <w:rsid w:val="009A3B93"/>
    <w:rsid w:val="009A6B9C"/>
    <w:rsid w:val="009A6CA0"/>
    <w:rsid w:val="009A704E"/>
    <w:rsid w:val="009A7E9D"/>
    <w:rsid w:val="009B18F4"/>
    <w:rsid w:val="009B1E21"/>
    <w:rsid w:val="009B5D94"/>
    <w:rsid w:val="009B64A3"/>
    <w:rsid w:val="009C06FA"/>
    <w:rsid w:val="009C2BFC"/>
    <w:rsid w:val="009C7B6F"/>
    <w:rsid w:val="009D07BA"/>
    <w:rsid w:val="009D24C2"/>
    <w:rsid w:val="009D3731"/>
    <w:rsid w:val="009D4AD3"/>
    <w:rsid w:val="009E05B3"/>
    <w:rsid w:val="009E2CFF"/>
    <w:rsid w:val="009E3C05"/>
    <w:rsid w:val="009F4343"/>
    <w:rsid w:val="009F4E1F"/>
    <w:rsid w:val="009F5A47"/>
    <w:rsid w:val="00A0444B"/>
    <w:rsid w:val="00A07991"/>
    <w:rsid w:val="00A12830"/>
    <w:rsid w:val="00A24A88"/>
    <w:rsid w:val="00A27412"/>
    <w:rsid w:val="00A30591"/>
    <w:rsid w:val="00A36DB3"/>
    <w:rsid w:val="00A43D64"/>
    <w:rsid w:val="00A448D2"/>
    <w:rsid w:val="00A450CB"/>
    <w:rsid w:val="00A46883"/>
    <w:rsid w:val="00A51AC3"/>
    <w:rsid w:val="00A51B41"/>
    <w:rsid w:val="00A51D6D"/>
    <w:rsid w:val="00A53B68"/>
    <w:rsid w:val="00A53D5B"/>
    <w:rsid w:val="00A53F91"/>
    <w:rsid w:val="00A54DC0"/>
    <w:rsid w:val="00A568AB"/>
    <w:rsid w:val="00A57B09"/>
    <w:rsid w:val="00A61E4A"/>
    <w:rsid w:val="00A7421C"/>
    <w:rsid w:val="00A752AF"/>
    <w:rsid w:val="00A800D7"/>
    <w:rsid w:val="00A8031F"/>
    <w:rsid w:val="00A85726"/>
    <w:rsid w:val="00A957A1"/>
    <w:rsid w:val="00A95B47"/>
    <w:rsid w:val="00AA04CB"/>
    <w:rsid w:val="00AA17E1"/>
    <w:rsid w:val="00AA5AC1"/>
    <w:rsid w:val="00AB0A01"/>
    <w:rsid w:val="00AB2AEF"/>
    <w:rsid w:val="00AB2DC5"/>
    <w:rsid w:val="00AB3076"/>
    <w:rsid w:val="00AB38E0"/>
    <w:rsid w:val="00AB3E74"/>
    <w:rsid w:val="00AB521F"/>
    <w:rsid w:val="00AB5456"/>
    <w:rsid w:val="00AC047E"/>
    <w:rsid w:val="00AC129A"/>
    <w:rsid w:val="00AC4794"/>
    <w:rsid w:val="00AC60DC"/>
    <w:rsid w:val="00AD1563"/>
    <w:rsid w:val="00AD2790"/>
    <w:rsid w:val="00AD3FFE"/>
    <w:rsid w:val="00AD4C1B"/>
    <w:rsid w:val="00AD7104"/>
    <w:rsid w:val="00AD72CF"/>
    <w:rsid w:val="00AD7DC1"/>
    <w:rsid w:val="00AE09D4"/>
    <w:rsid w:val="00AE6CE9"/>
    <w:rsid w:val="00AF264C"/>
    <w:rsid w:val="00AF322D"/>
    <w:rsid w:val="00AF7A03"/>
    <w:rsid w:val="00B01367"/>
    <w:rsid w:val="00B03373"/>
    <w:rsid w:val="00B03907"/>
    <w:rsid w:val="00B0489F"/>
    <w:rsid w:val="00B0506A"/>
    <w:rsid w:val="00B05E78"/>
    <w:rsid w:val="00B05E92"/>
    <w:rsid w:val="00B11D44"/>
    <w:rsid w:val="00B16D50"/>
    <w:rsid w:val="00B23526"/>
    <w:rsid w:val="00B279B2"/>
    <w:rsid w:val="00B32449"/>
    <w:rsid w:val="00B35D05"/>
    <w:rsid w:val="00B36BAF"/>
    <w:rsid w:val="00B4233A"/>
    <w:rsid w:val="00B42D3F"/>
    <w:rsid w:val="00B43612"/>
    <w:rsid w:val="00B46EED"/>
    <w:rsid w:val="00B50743"/>
    <w:rsid w:val="00B5252C"/>
    <w:rsid w:val="00B57C91"/>
    <w:rsid w:val="00B61F3B"/>
    <w:rsid w:val="00B634C9"/>
    <w:rsid w:val="00B653D9"/>
    <w:rsid w:val="00B67183"/>
    <w:rsid w:val="00B710D4"/>
    <w:rsid w:val="00B74C32"/>
    <w:rsid w:val="00B74FE4"/>
    <w:rsid w:val="00B76AB2"/>
    <w:rsid w:val="00B80F23"/>
    <w:rsid w:val="00B81724"/>
    <w:rsid w:val="00B817B0"/>
    <w:rsid w:val="00B83356"/>
    <w:rsid w:val="00B85896"/>
    <w:rsid w:val="00B8750C"/>
    <w:rsid w:val="00B90679"/>
    <w:rsid w:val="00B960CC"/>
    <w:rsid w:val="00BA184A"/>
    <w:rsid w:val="00BA2CBF"/>
    <w:rsid w:val="00BA54EF"/>
    <w:rsid w:val="00BB199D"/>
    <w:rsid w:val="00BB498F"/>
    <w:rsid w:val="00BC3423"/>
    <w:rsid w:val="00BD2B96"/>
    <w:rsid w:val="00BD37E8"/>
    <w:rsid w:val="00BD5286"/>
    <w:rsid w:val="00BD63E2"/>
    <w:rsid w:val="00BE0632"/>
    <w:rsid w:val="00BE40CF"/>
    <w:rsid w:val="00BE6846"/>
    <w:rsid w:val="00BF1EBE"/>
    <w:rsid w:val="00BF243A"/>
    <w:rsid w:val="00BF2DAA"/>
    <w:rsid w:val="00BF4EA3"/>
    <w:rsid w:val="00C007C9"/>
    <w:rsid w:val="00C019BD"/>
    <w:rsid w:val="00C04AF1"/>
    <w:rsid w:val="00C05F1C"/>
    <w:rsid w:val="00C065F9"/>
    <w:rsid w:val="00C1311F"/>
    <w:rsid w:val="00C15651"/>
    <w:rsid w:val="00C20D8B"/>
    <w:rsid w:val="00C21774"/>
    <w:rsid w:val="00C3079A"/>
    <w:rsid w:val="00C3152E"/>
    <w:rsid w:val="00C366EF"/>
    <w:rsid w:val="00C37B7B"/>
    <w:rsid w:val="00C4298F"/>
    <w:rsid w:val="00C42D94"/>
    <w:rsid w:val="00C43465"/>
    <w:rsid w:val="00C44199"/>
    <w:rsid w:val="00C5062E"/>
    <w:rsid w:val="00C50717"/>
    <w:rsid w:val="00C507BD"/>
    <w:rsid w:val="00C5500D"/>
    <w:rsid w:val="00C55674"/>
    <w:rsid w:val="00C57675"/>
    <w:rsid w:val="00C601B5"/>
    <w:rsid w:val="00C61490"/>
    <w:rsid w:val="00C643A7"/>
    <w:rsid w:val="00C671DB"/>
    <w:rsid w:val="00C67D7D"/>
    <w:rsid w:val="00C70489"/>
    <w:rsid w:val="00C770EF"/>
    <w:rsid w:val="00C83A39"/>
    <w:rsid w:val="00C83E13"/>
    <w:rsid w:val="00C840D4"/>
    <w:rsid w:val="00C8430B"/>
    <w:rsid w:val="00C84E51"/>
    <w:rsid w:val="00C867D7"/>
    <w:rsid w:val="00C938B2"/>
    <w:rsid w:val="00C9431E"/>
    <w:rsid w:val="00CA0E60"/>
    <w:rsid w:val="00CA25E6"/>
    <w:rsid w:val="00CA2D31"/>
    <w:rsid w:val="00CA3440"/>
    <w:rsid w:val="00CA3D68"/>
    <w:rsid w:val="00CA6B71"/>
    <w:rsid w:val="00CB00EC"/>
    <w:rsid w:val="00CB11A6"/>
    <w:rsid w:val="00CB2E85"/>
    <w:rsid w:val="00CB435A"/>
    <w:rsid w:val="00CB4503"/>
    <w:rsid w:val="00CB6C3D"/>
    <w:rsid w:val="00CC130C"/>
    <w:rsid w:val="00CC1A20"/>
    <w:rsid w:val="00CC49C7"/>
    <w:rsid w:val="00CC7D36"/>
    <w:rsid w:val="00CD06A8"/>
    <w:rsid w:val="00CD2EF3"/>
    <w:rsid w:val="00CE1A7C"/>
    <w:rsid w:val="00CE27AC"/>
    <w:rsid w:val="00CE3127"/>
    <w:rsid w:val="00CE3B4F"/>
    <w:rsid w:val="00CE46A9"/>
    <w:rsid w:val="00CE4755"/>
    <w:rsid w:val="00CE4A3A"/>
    <w:rsid w:val="00CF0DDC"/>
    <w:rsid w:val="00D019D6"/>
    <w:rsid w:val="00D03EE9"/>
    <w:rsid w:val="00D047AA"/>
    <w:rsid w:val="00D05AA0"/>
    <w:rsid w:val="00D066D9"/>
    <w:rsid w:val="00D06EAD"/>
    <w:rsid w:val="00D107C8"/>
    <w:rsid w:val="00D11A48"/>
    <w:rsid w:val="00D17AD1"/>
    <w:rsid w:val="00D23C91"/>
    <w:rsid w:val="00D3287E"/>
    <w:rsid w:val="00D3425A"/>
    <w:rsid w:val="00D35900"/>
    <w:rsid w:val="00D3621F"/>
    <w:rsid w:val="00D36CAF"/>
    <w:rsid w:val="00D436D5"/>
    <w:rsid w:val="00D43FCE"/>
    <w:rsid w:val="00D450E1"/>
    <w:rsid w:val="00D465D9"/>
    <w:rsid w:val="00D51337"/>
    <w:rsid w:val="00D5743C"/>
    <w:rsid w:val="00D60A84"/>
    <w:rsid w:val="00D60AB4"/>
    <w:rsid w:val="00D62E37"/>
    <w:rsid w:val="00D65C0C"/>
    <w:rsid w:val="00D6709F"/>
    <w:rsid w:val="00D808D8"/>
    <w:rsid w:val="00D82A99"/>
    <w:rsid w:val="00D8460A"/>
    <w:rsid w:val="00D90221"/>
    <w:rsid w:val="00D924D2"/>
    <w:rsid w:val="00D95AF3"/>
    <w:rsid w:val="00D964F1"/>
    <w:rsid w:val="00DA1C18"/>
    <w:rsid w:val="00DA7F66"/>
    <w:rsid w:val="00DB03EB"/>
    <w:rsid w:val="00DB0583"/>
    <w:rsid w:val="00DB09D4"/>
    <w:rsid w:val="00DB2806"/>
    <w:rsid w:val="00DB5BCE"/>
    <w:rsid w:val="00DB71F6"/>
    <w:rsid w:val="00DC18CC"/>
    <w:rsid w:val="00DC1DFC"/>
    <w:rsid w:val="00DC5182"/>
    <w:rsid w:val="00DC5CC4"/>
    <w:rsid w:val="00DC6E59"/>
    <w:rsid w:val="00DD2CD5"/>
    <w:rsid w:val="00DD3232"/>
    <w:rsid w:val="00DD4B69"/>
    <w:rsid w:val="00DD5BCC"/>
    <w:rsid w:val="00DD6F5C"/>
    <w:rsid w:val="00DE01AD"/>
    <w:rsid w:val="00DF12A2"/>
    <w:rsid w:val="00DF2E8E"/>
    <w:rsid w:val="00DF3517"/>
    <w:rsid w:val="00DF36FC"/>
    <w:rsid w:val="00DF533F"/>
    <w:rsid w:val="00E008A8"/>
    <w:rsid w:val="00E057BE"/>
    <w:rsid w:val="00E12318"/>
    <w:rsid w:val="00E12D8A"/>
    <w:rsid w:val="00E14BD7"/>
    <w:rsid w:val="00E14C3B"/>
    <w:rsid w:val="00E14D7D"/>
    <w:rsid w:val="00E17BF6"/>
    <w:rsid w:val="00E22A23"/>
    <w:rsid w:val="00E23BCA"/>
    <w:rsid w:val="00E245B6"/>
    <w:rsid w:val="00E26FB6"/>
    <w:rsid w:val="00E273B8"/>
    <w:rsid w:val="00E33CD7"/>
    <w:rsid w:val="00E44612"/>
    <w:rsid w:val="00E505FA"/>
    <w:rsid w:val="00E51101"/>
    <w:rsid w:val="00E564F6"/>
    <w:rsid w:val="00E56DFB"/>
    <w:rsid w:val="00E61CA1"/>
    <w:rsid w:val="00E61F60"/>
    <w:rsid w:val="00E63940"/>
    <w:rsid w:val="00E64707"/>
    <w:rsid w:val="00E71806"/>
    <w:rsid w:val="00E71B4B"/>
    <w:rsid w:val="00E7216A"/>
    <w:rsid w:val="00E73781"/>
    <w:rsid w:val="00E75CD5"/>
    <w:rsid w:val="00E848A7"/>
    <w:rsid w:val="00E867D0"/>
    <w:rsid w:val="00E87856"/>
    <w:rsid w:val="00E91E89"/>
    <w:rsid w:val="00E94FE2"/>
    <w:rsid w:val="00EA0063"/>
    <w:rsid w:val="00EA16DB"/>
    <w:rsid w:val="00EA2699"/>
    <w:rsid w:val="00EA2BF0"/>
    <w:rsid w:val="00EA37F6"/>
    <w:rsid w:val="00EA567B"/>
    <w:rsid w:val="00EB0192"/>
    <w:rsid w:val="00EB2AEB"/>
    <w:rsid w:val="00EB63F4"/>
    <w:rsid w:val="00EC20CE"/>
    <w:rsid w:val="00EC42ED"/>
    <w:rsid w:val="00ED07DE"/>
    <w:rsid w:val="00ED0F2E"/>
    <w:rsid w:val="00ED12F0"/>
    <w:rsid w:val="00ED1C16"/>
    <w:rsid w:val="00ED2535"/>
    <w:rsid w:val="00ED2AC3"/>
    <w:rsid w:val="00EE4F53"/>
    <w:rsid w:val="00EE7351"/>
    <w:rsid w:val="00EE740D"/>
    <w:rsid w:val="00EF30F3"/>
    <w:rsid w:val="00EF37EC"/>
    <w:rsid w:val="00EF45AF"/>
    <w:rsid w:val="00EF5E46"/>
    <w:rsid w:val="00F01A3A"/>
    <w:rsid w:val="00F12AAF"/>
    <w:rsid w:val="00F176BA"/>
    <w:rsid w:val="00F20D0D"/>
    <w:rsid w:val="00F21C45"/>
    <w:rsid w:val="00F223D2"/>
    <w:rsid w:val="00F24F42"/>
    <w:rsid w:val="00F27031"/>
    <w:rsid w:val="00F341F7"/>
    <w:rsid w:val="00F342B8"/>
    <w:rsid w:val="00F40608"/>
    <w:rsid w:val="00F41A44"/>
    <w:rsid w:val="00F44B12"/>
    <w:rsid w:val="00F52186"/>
    <w:rsid w:val="00F52DF9"/>
    <w:rsid w:val="00F55DEA"/>
    <w:rsid w:val="00F57171"/>
    <w:rsid w:val="00F628D3"/>
    <w:rsid w:val="00F6307B"/>
    <w:rsid w:val="00F67A37"/>
    <w:rsid w:val="00F72E72"/>
    <w:rsid w:val="00F75AEF"/>
    <w:rsid w:val="00F77E73"/>
    <w:rsid w:val="00F811B9"/>
    <w:rsid w:val="00F82330"/>
    <w:rsid w:val="00F827C6"/>
    <w:rsid w:val="00F8794F"/>
    <w:rsid w:val="00F9048A"/>
    <w:rsid w:val="00F9688C"/>
    <w:rsid w:val="00FA0E3D"/>
    <w:rsid w:val="00FA131C"/>
    <w:rsid w:val="00FA1F3A"/>
    <w:rsid w:val="00FA75E7"/>
    <w:rsid w:val="00FB0ABA"/>
    <w:rsid w:val="00FB19FC"/>
    <w:rsid w:val="00FB5BF6"/>
    <w:rsid w:val="00FC1843"/>
    <w:rsid w:val="00FC24BC"/>
    <w:rsid w:val="00FC2F12"/>
    <w:rsid w:val="00FC34E5"/>
    <w:rsid w:val="00FC3E9F"/>
    <w:rsid w:val="00FC3FC2"/>
    <w:rsid w:val="00FC491E"/>
    <w:rsid w:val="00FD76BE"/>
    <w:rsid w:val="00FE0DFD"/>
    <w:rsid w:val="00FE1E3B"/>
    <w:rsid w:val="00FE46E0"/>
    <w:rsid w:val="00FE6F83"/>
    <w:rsid w:val="00FF2FA9"/>
    <w:rsid w:val="00FF53EB"/>
    <w:rsid w:val="00FF5BEC"/>
    <w:rsid w:val="00FF6AA4"/>
    <w:rsid w:val="0191087C"/>
    <w:rsid w:val="01C225ED"/>
    <w:rsid w:val="0222416B"/>
    <w:rsid w:val="024C3F90"/>
    <w:rsid w:val="02BD73B4"/>
    <w:rsid w:val="02EC0382"/>
    <w:rsid w:val="02FC6355"/>
    <w:rsid w:val="035C32B0"/>
    <w:rsid w:val="03730C0B"/>
    <w:rsid w:val="03EB197F"/>
    <w:rsid w:val="0477159E"/>
    <w:rsid w:val="0487523C"/>
    <w:rsid w:val="048E4E68"/>
    <w:rsid w:val="04E57AC0"/>
    <w:rsid w:val="04FD0162"/>
    <w:rsid w:val="051C59ED"/>
    <w:rsid w:val="05403A5F"/>
    <w:rsid w:val="05C977E5"/>
    <w:rsid w:val="05EF644C"/>
    <w:rsid w:val="063B6F37"/>
    <w:rsid w:val="069A1273"/>
    <w:rsid w:val="073168E1"/>
    <w:rsid w:val="084E5C64"/>
    <w:rsid w:val="08A7581D"/>
    <w:rsid w:val="09153CCC"/>
    <w:rsid w:val="094F31D3"/>
    <w:rsid w:val="097C203A"/>
    <w:rsid w:val="09D60F1B"/>
    <w:rsid w:val="0A170A6A"/>
    <w:rsid w:val="0A780F63"/>
    <w:rsid w:val="0A9C6F6D"/>
    <w:rsid w:val="0AD5416C"/>
    <w:rsid w:val="0AFA3738"/>
    <w:rsid w:val="0BCC0A37"/>
    <w:rsid w:val="0BEC2290"/>
    <w:rsid w:val="0BF26547"/>
    <w:rsid w:val="0C7D3CE3"/>
    <w:rsid w:val="0C81651C"/>
    <w:rsid w:val="0CD64938"/>
    <w:rsid w:val="0CFF2EA1"/>
    <w:rsid w:val="0D206D3E"/>
    <w:rsid w:val="0D4F5052"/>
    <w:rsid w:val="0E202AEA"/>
    <w:rsid w:val="0E342232"/>
    <w:rsid w:val="0ED4329A"/>
    <w:rsid w:val="0F320DAE"/>
    <w:rsid w:val="0F5517A3"/>
    <w:rsid w:val="0F921960"/>
    <w:rsid w:val="11045BB9"/>
    <w:rsid w:val="112F34A8"/>
    <w:rsid w:val="1199574F"/>
    <w:rsid w:val="11A6598B"/>
    <w:rsid w:val="11E63955"/>
    <w:rsid w:val="12690332"/>
    <w:rsid w:val="13AE4D19"/>
    <w:rsid w:val="13DE5B26"/>
    <w:rsid w:val="14665577"/>
    <w:rsid w:val="14784A29"/>
    <w:rsid w:val="14A7430F"/>
    <w:rsid w:val="15400436"/>
    <w:rsid w:val="15657342"/>
    <w:rsid w:val="166B5A6F"/>
    <w:rsid w:val="16853D49"/>
    <w:rsid w:val="174E66FA"/>
    <w:rsid w:val="178735E6"/>
    <w:rsid w:val="18483FB5"/>
    <w:rsid w:val="18647883"/>
    <w:rsid w:val="18A706B9"/>
    <w:rsid w:val="190C35AD"/>
    <w:rsid w:val="19C740D8"/>
    <w:rsid w:val="1A137C8A"/>
    <w:rsid w:val="1A64353D"/>
    <w:rsid w:val="1A8E7993"/>
    <w:rsid w:val="1AB53561"/>
    <w:rsid w:val="1AB87BF8"/>
    <w:rsid w:val="1ADA1ADD"/>
    <w:rsid w:val="1B7D4020"/>
    <w:rsid w:val="1B98765D"/>
    <w:rsid w:val="1BE03BA0"/>
    <w:rsid w:val="1D2B1888"/>
    <w:rsid w:val="1E950B2B"/>
    <w:rsid w:val="206A4961"/>
    <w:rsid w:val="20A453A2"/>
    <w:rsid w:val="211F2167"/>
    <w:rsid w:val="213C1637"/>
    <w:rsid w:val="21942DAA"/>
    <w:rsid w:val="22316034"/>
    <w:rsid w:val="223D4B82"/>
    <w:rsid w:val="236B357A"/>
    <w:rsid w:val="23B269F7"/>
    <w:rsid w:val="23FA1381"/>
    <w:rsid w:val="2439578F"/>
    <w:rsid w:val="246E616E"/>
    <w:rsid w:val="249963CC"/>
    <w:rsid w:val="24A62F45"/>
    <w:rsid w:val="2566205C"/>
    <w:rsid w:val="258B406C"/>
    <w:rsid w:val="261044E3"/>
    <w:rsid w:val="26727B85"/>
    <w:rsid w:val="270F32D6"/>
    <w:rsid w:val="278F1869"/>
    <w:rsid w:val="27AD7BA2"/>
    <w:rsid w:val="28CA2D1C"/>
    <w:rsid w:val="290975E5"/>
    <w:rsid w:val="29513EC6"/>
    <w:rsid w:val="29ED400E"/>
    <w:rsid w:val="2A4431B4"/>
    <w:rsid w:val="2B4978E2"/>
    <w:rsid w:val="2BAF0784"/>
    <w:rsid w:val="2C776707"/>
    <w:rsid w:val="2C82205A"/>
    <w:rsid w:val="2CBF00F1"/>
    <w:rsid w:val="2CE20E35"/>
    <w:rsid w:val="2D0D16A5"/>
    <w:rsid w:val="2D426EE6"/>
    <w:rsid w:val="2D4E3625"/>
    <w:rsid w:val="2DB36936"/>
    <w:rsid w:val="2E0F4396"/>
    <w:rsid w:val="2EBE07DF"/>
    <w:rsid w:val="2F793CB3"/>
    <w:rsid w:val="2F9257C7"/>
    <w:rsid w:val="2FA7366A"/>
    <w:rsid w:val="2FD652B7"/>
    <w:rsid w:val="30973473"/>
    <w:rsid w:val="313F3BA6"/>
    <w:rsid w:val="31B830E0"/>
    <w:rsid w:val="320B446D"/>
    <w:rsid w:val="321514A6"/>
    <w:rsid w:val="32D904BC"/>
    <w:rsid w:val="32F94B8E"/>
    <w:rsid w:val="330742B6"/>
    <w:rsid w:val="331B51D6"/>
    <w:rsid w:val="336B2B53"/>
    <w:rsid w:val="344B46DB"/>
    <w:rsid w:val="34CF33B5"/>
    <w:rsid w:val="34DB0F65"/>
    <w:rsid w:val="36261F53"/>
    <w:rsid w:val="36C81DE8"/>
    <w:rsid w:val="36D64083"/>
    <w:rsid w:val="377859FD"/>
    <w:rsid w:val="37AA6384"/>
    <w:rsid w:val="37D629A1"/>
    <w:rsid w:val="38436044"/>
    <w:rsid w:val="387F7A1E"/>
    <w:rsid w:val="395037FA"/>
    <w:rsid w:val="3B9E3904"/>
    <w:rsid w:val="3BA7084C"/>
    <w:rsid w:val="3BC218FD"/>
    <w:rsid w:val="3BC52A1D"/>
    <w:rsid w:val="3D0E5556"/>
    <w:rsid w:val="3D5D1F2F"/>
    <w:rsid w:val="3E3C18A3"/>
    <w:rsid w:val="3E4473CF"/>
    <w:rsid w:val="3E735CD6"/>
    <w:rsid w:val="3E8962DA"/>
    <w:rsid w:val="3EB94998"/>
    <w:rsid w:val="3F112B62"/>
    <w:rsid w:val="3F283660"/>
    <w:rsid w:val="3FF7015C"/>
    <w:rsid w:val="404959A8"/>
    <w:rsid w:val="4071006C"/>
    <w:rsid w:val="40B05B1F"/>
    <w:rsid w:val="413E0244"/>
    <w:rsid w:val="41AA0C03"/>
    <w:rsid w:val="41FC6FBF"/>
    <w:rsid w:val="425B3D55"/>
    <w:rsid w:val="429E2E14"/>
    <w:rsid w:val="42FE2483"/>
    <w:rsid w:val="432F5514"/>
    <w:rsid w:val="437D0224"/>
    <w:rsid w:val="43B8716C"/>
    <w:rsid w:val="43C3283B"/>
    <w:rsid w:val="440A578C"/>
    <w:rsid w:val="44C06BEE"/>
    <w:rsid w:val="44FD7F19"/>
    <w:rsid w:val="461762D1"/>
    <w:rsid w:val="46473547"/>
    <w:rsid w:val="46FB51BC"/>
    <w:rsid w:val="47125694"/>
    <w:rsid w:val="471A065F"/>
    <w:rsid w:val="47E409B2"/>
    <w:rsid w:val="48732FA5"/>
    <w:rsid w:val="48890188"/>
    <w:rsid w:val="495B048F"/>
    <w:rsid w:val="496B50F8"/>
    <w:rsid w:val="4A5E05E1"/>
    <w:rsid w:val="4ABA4372"/>
    <w:rsid w:val="4ADC2B74"/>
    <w:rsid w:val="4B30622F"/>
    <w:rsid w:val="4BC27A67"/>
    <w:rsid w:val="4CA70128"/>
    <w:rsid w:val="4CEE560C"/>
    <w:rsid w:val="4D0069CE"/>
    <w:rsid w:val="4D2E66D8"/>
    <w:rsid w:val="4D8F5FB1"/>
    <w:rsid w:val="4D913406"/>
    <w:rsid w:val="4DC572D0"/>
    <w:rsid w:val="4E4C36E2"/>
    <w:rsid w:val="4EE51D25"/>
    <w:rsid w:val="4F767ABB"/>
    <w:rsid w:val="4F9C7946"/>
    <w:rsid w:val="4FCC41A1"/>
    <w:rsid w:val="4FD07F1A"/>
    <w:rsid w:val="50CF5F36"/>
    <w:rsid w:val="518119C4"/>
    <w:rsid w:val="51982AEC"/>
    <w:rsid w:val="519A516D"/>
    <w:rsid w:val="521B769F"/>
    <w:rsid w:val="52E616D3"/>
    <w:rsid w:val="53CC3F8A"/>
    <w:rsid w:val="5402631D"/>
    <w:rsid w:val="544637FA"/>
    <w:rsid w:val="54F16D1C"/>
    <w:rsid w:val="550021F7"/>
    <w:rsid w:val="557315BF"/>
    <w:rsid w:val="561B7CF8"/>
    <w:rsid w:val="563F13DC"/>
    <w:rsid w:val="56725F69"/>
    <w:rsid w:val="568715CF"/>
    <w:rsid w:val="56E512E6"/>
    <w:rsid w:val="56F063AA"/>
    <w:rsid w:val="576741BB"/>
    <w:rsid w:val="57D542ED"/>
    <w:rsid w:val="585D0200"/>
    <w:rsid w:val="592534AB"/>
    <w:rsid w:val="59A47FB3"/>
    <w:rsid w:val="59CA4410"/>
    <w:rsid w:val="5A352BD7"/>
    <w:rsid w:val="5A3637F1"/>
    <w:rsid w:val="5A533DE6"/>
    <w:rsid w:val="5B396746"/>
    <w:rsid w:val="5C7D0B5A"/>
    <w:rsid w:val="5D1205DF"/>
    <w:rsid w:val="5D566440"/>
    <w:rsid w:val="5DDB45B0"/>
    <w:rsid w:val="5DFC7C4C"/>
    <w:rsid w:val="5E195C20"/>
    <w:rsid w:val="5EA470C3"/>
    <w:rsid w:val="5ECC5D50"/>
    <w:rsid w:val="5FD154B4"/>
    <w:rsid w:val="5FF803BF"/>
    <w:rsid w:val="603B7793"/>
    <w:rsid w:val="60A43852"/>
    <w:rsid w:val="61502B73"/>
    <w:rsid w:val="618D180C"/>
    <w:rsid w:val="61DD5EE9"/>
    <w:rsid w:val="624D0F56"/>
    <w:rsid w:val="63133321"/>
    <w:rsid w:val="6349580F"/>
    <w:rsid w:val="638A3726"/>
    <w:rsid w:val="646B7DB9"/>
    <w:rsid w:val="648A7275"/>
    <w:rsid w:val="64963088"/>
    <w:rsid w:val="64D304B3"/>
    <w:rsid w:val="64E220DD"/>
    <w:rsid w:val="652F3878"/>
    <w:rsid w:val="654B6A4E"/>
    <w:rsid w:val="6559534A"/>
    <w:rsid w:val="677A226A"/>
    <w:rsid w:val="67BD02C6"/>
    <w:rsid w:val="67D0686A"/>
    <w:rsid w:val="67E75B9C"/>
    <w:rsid w:val="6807566D"/>
    <w:rsid w:val="6839194C"/>
    <w:rsid w:val="683B0980"/>
    <w:rsid w:val="686960E6"/>
    <w:rsid w:val="68ED72EE"/>
    <w:rsid w:val="693C36FC"/>
    <w:rsid w:val="69E01D5F"/>
    <w:rsid w:val="6A46304D"/>
    <w:rsid w:val="6BA91FF0"/>
    <w:rsid w:val="6BED1298"/>
    <w:rsid w:val="6DA103DD"/>
    <w:rsid w:val="6DFF1C9E"/>
    <w:rsid w:val="6E3226C6"/>
    <w:rsid w:val="6E4C07DC"/>
    <w:rsid w:val="6E573559"/>
    <w:rsid w:val="6EC67842"/>
    <w:rsid w:val="6FB75470"/>
    <w:rsid w:val="6FDE2273"/>
    <w:rsid w:val="70755D98"/>
    <w:rsid w:val="709E6AD1"/>
    <w:rsid w:val="716B671F"/>
    <w:rsid w:val="716D3701"/>
    <w:rsid w:val="718A6B4A"/>
    <w:rsid w:val="71A2579E"/>
    <w:rsid w:val="72807A27"/>
    <w:rsid w:val="72CF445A"/>
    <w:rsid w:val="74032420"/>
    <w:rsid w:val="750D6C96"/>
    <w:rsid w:val="753E28E8"/>
    <w:rsid w:val="759A40E1"/>
    <w:rsid w:val="75A432DF"/>
    <w:rsid w:val="760D7C4A"/>
    <w:rsid w:val="762E113A"/>
    <w:rsid w:val="764A03A3"/>
    <w:rsid w:val="76BB055F"/>
    <w:rsid w:val="76EC296B"/>
    <w:rsid w:val="76F20AD9"/>
    <w:rsid w:val="76FA0FBF"/>
    <w:rsid w:val="77793AE0"/>
    <w:rsid w:val="790F4F57"/>
    <w:rsid w:val="79981260"/>
    <w:rsid w:val="7A5A3828"/>
    <w:rsid w:val="7ACA2556"/>
    <w:rsid w:val="7ADF33C8"/>
    <w:rsid w:val="7AF52990"/>
    <w:rsid w:val="7BB473CD"/>
    <w:rsid w:val="7BC27DA5"/>
    <w:rsid w:val="7C4A58F4"/>
    <w:rsid w:val="7D422FE2"/>
    <w:rsid w:val="7D4C3BCA"/>
    <w:rsid w:val="7D965107"/>
    <w:rsid w:val="7DBA2005"/>
    <w:rsid w:val="7E770786"/>
    <w:rsid w:val="7EF77E1E"/>
    <w:rsid w:val="7F4E60F7"/>
    <w:rsid w:val="87FFD166"/>
    <w:rsid w:val="BFEA7123"/>
    <w:rsid w:val="FB8790D2"/>
    <w:rsid w:val="FF2B4D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autoRedefine/>
    <w:qFormat/>
    <w:uiPriority w:val="9"/>
    <w:pPr>
      <w:spacing w:before="100" w:beforeAutospacing="1" w:after="100" w:afterAutospacing="1"/>
      <w:outlineLvl w:val="0"/>
    </w:pPr>
    <w:rPr>
      <w:rFonts w:ascii="宋体" w:hAnsi="宋体" w:eastAsia="宋体" w:cs="宋体"/>
      <w:b/>
      <w:bCs/>
      <w:kern w:val="36"/>
      <w:sz w:val="48"/>
      <w:szCs w:val="48"/>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autoRedefine/>
    <w:unhideWhenUsed/>
    <w:qFormat/>
    <w:uiPriority w:val="99"/>
  </w:style>
  <w:style w:type="paragraph" w:styleId="4">
    <w:name w:val="Body Text"/>
    <w:basedOn w:val="1"/>
    <w:autoRedefine/>
    <w:qFormat/>
    <w:uiPriority w:val="0"/>
    <w:rPr>
      <w:sz w:val="24"/>
    </w:rPr>
  </w:style>
  <w:style w:type="paragraph" w:styleId="5">
    <w:name w:val="Balloon Text"/>
    <w:basedOn w:val="1"/>
    <w:link w:val="21"/>
    <w:autoRedefine/>
    <w:semiHidden/>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pPr>
    <w:rPr>
      <w:sz w:val="18"/>
    </w:rPr>
  </w:style>
  <w:style w:type="paragraph" w:styleId="7">
    <w:name w:val="header"/>
    <w:basedOn w:val="1"/>
    <w:link w:val="26"/>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semiHidden/>
    <w:unhideWhenUsed/>
    <w:qFormat/>
    <w:uiPriority w:val="99"/>
    <w:pPr>
      <w:spacing w:before="100" w:beforeAutospacing="1" w:after="100" w:afterAutospacing="1"/>
    </w:pPr>
    <w:rPr>
      <w:rFonts w:ascii="宋体" w:hAnsi="宋体" w:eastAsia="宋体" w:cs="宋体"/>
      <w:kern w:val="0"/>
      <w:sz w:val="24"/>
      <w:szCs w:val="24"/>
    </w:rPr>
  </w:style>
  <w:style w:type="paragraph" w:styleId="9">
    <w:name w:val="annotation subject"/>
    <w:basedOn w:val="3"/>
    <w:next w:val="3"/>
    <w:link w:val="25"/>
    <w:autoRedefine/>
    <w:semiHidden/>
    <w:unhideWhenUsed/>
    <w:qFormat/>
    <w:uiPriority w:val="99"/>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autoRedefine/>
    <w:qFormat/>
    <w:uiPriority w:val="0"/>
  </w:style>
  <w:style w:type="character" w:styleId="14">
    <w:name w:val="Hyperlink"/>
    <w:basedOn w:val="12"/>
    <w:autoRedefine/>
    <w:semiHidden/>
    <w:unhideWhenUsed/>
    <w:qFormat/>
    <w:uiPriority w:val="99"/>
    <w:rPr>
      <w:color w:val="0000FF"/>
      <w:u w:val="single"/>
    </w:rPr>
  </w:style>
  <w:style w:type="character" w:styleId="15">
    <w:name w:val="annotation reference"/>
    <w:basedOn w:val="12"/>
    <w:autoRedefine/>
    <w:semiHidden/>
    <w:unhideWhenUsed/>
    <w:qFormat/>
    <w:uiPriority w:val="99"/>
    <w:rPr>
      <w:sz w:val="21"/>
      <w:szCs w:val="21"/>
    </w:rPr>
  </w:style>
  <w:style w:type="paragraph" w:styleId="16">
    <w:name w:val="List Paragraph"/>
    <w:basedOn w:val="1"/>
    <w:autoRedefine/>
    <w:qFormat/>
    <w:uiPriority w:val="99"/>
    <w:pPr>
      <w:ind w:firstLine="420" w:firstLineChars="200"/>
    </w:pPr>
  </w:style>
  <w:style w:type="character" w:customStyle="1" w:styleId="17">
    <w:name w:val="标题 1 字符"/>
    <w:basedOn w:val="12"/>
    <w:link w:val="2"/>
    <w:autoRedefine/>
    <w:qFormat/>
    <w:uiPriority w:val="9"/>
    <w:rPr>
      <w:rFonts w:ascii="宋体" w:hAnsi="宋体" w:cs="宋体"/>
      <w:b/>
      <w:bCs/>
      <w:kern w:val="36"/>
      <w:sz w:val="48"/>
      <w:szCs w:val="48"/>
    </w:rPr>
  </w:style>
  <w:style w:type="paragraph" w:customStyle="1" w:styleId="18">
    <w:name w:val="无间隔1"/>
    <w:autoRedefine/>
    <w:qFormat/>
    <w:uiPriority w:val="99"/>
    <w:pPr>
      <w:adjustRightInd w:val="0"/>
      <w:snapToGrid w:val="0"/>
    </w:pPr>
    <w:rPr>
      <w:rFonts w:ascii="Tahoma" w:hAnsi="Tahoma" w:eastAsia="宋体" w:cs="Tahoma"/>
      <w:sz w:val="22"/>
      <w:szCs w:val="22"/>
      <w:lang w:val="en-US" w:eastAsia="zh-CN" w:bidi="ar-SA"/>
    </w:rPr>
  </w:style>
  <w:style w:type="character" w:customStyle="1" w:styleId="19">
    <w:name w:val="页脚 字符"/>
    <w:basedOn w:val="12"/>
    <w:link w:val="6"/>
    <w:autoRedefine/>
    <w:qFormat/>
    <w:uiPriority w:val="99"/>
    <w:rPr>
      <w:rFonts w:asciiTheme="minorHAnsi" w:hAnsiTheme="minorHAnsi" w:eastAsiaTheme="minorEastAsia" w:cstheme="minorBidi"/>
      <w:kern w:val="2"/>
      <w:sz w:val="18"/>
      <w:szCs w:val="22"/>
    </w:rPr>
  </w:style>
  <w:style w:type="table" w:customStyle="1" w:styleId="20">
    <w:name w:val="网格型1"/>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批注框文本 字符"/>
    <w:basedOn w:val="12"/>
    <w:link w:val="5"/>
    <w:autoRedefine/>
    <w:semiHidden/>
    <w:qFormat/>
    <w:uiPriority w:val="99"/>
    <w:rPr>
      <w:rFonts w:asciiTheme="minorHAnsi" w:hAnsiTheme="minorHAnsi" w:eastAsiaTheme="minorEastAsia" w:cstheme="minorBidi"/>
      <w:kern w:val="2"/>
      <w:sz w:val="18"/>
      <w:szCs w:val="18"/>
    </w:rPr>
  </w:style>
  <w:style w:type="paragraph" w:customStyle="1" w:styleId="22">
    <w:name w:val="样式2"/>
    <w:basedOn w:val="1"/>
    <w:autoRedefine/>
    <w:qFormat/>
    <w:uiPriority w:val="0"/>
    <w:pPr>
      <w:adjustRightInd w:val="0"/>
      <w:snapToGrid w:val="0"/>
      <w:spacing w:line="310" w:lineRule="atLeast"/>
      <w:jc w:val="center"/>
    </w:pPr>
    <w:rPr>
      <w:rFonts w:ascii="方正大标宋简体" w:eastAsia="方正大标宋简体"/>
      <w:sz w:val="36"/>
      <w:szCs w:val="20"/>
    </w:rPr>
  </w:style>
  <w:style w:type="paragraph" w:customStyle="1" w:styleId="23">
    <w:name w:val="样式3"/>
    <w:basedOn w:val="1"/>
    <w:autoRedefine/>
    <w:qFormat/>
    <w:uiPriority w:val="0"/>
    <w:pPr>
      <w:adjustRightInd w:val="0"/>
      <w:spacing w:line="720" w:lineRule="auto"/>
      <w:jc w:val="center"/>
    </w:pPr>
    <w:rPr>
      <w:rFonts w:eastAsia="黑体"/>
      <w:sz w:val="28"/>
      <w:szCs w:val="20"/>
    </w:rPr>
  </w:style>
  <w:style w:type="character" w:customStyle="1" w:styleId="24">
    <w:name w:val="批注文字 字符"/>
    <w:basedOn w:val="12"/>
    <w:link w:val="3"/>
    <w:autoRedefine/>
    <w:qFormat/>
    <w:uiPriority w:val="99"/>
    <w:rPr>
      <w:rFonts w:asciiTheme="minorHAnsi" w:hAnsiTheme="minorHAnsi" w:eastAsiaTheme="minorEastAsia" w:cstheme="minorBidi"/>
      <w:kern w:val="2"/>
      <w:sz w:val="21"/>
      <w:szCs w:val="22"/>
    </w:rPr>
  </w:style>
  <w:style w:type="character" w:customStyle="1" w:styleId="25">
    <w:name w:val="批注主题 字符"/>
    <w:basedOn w:val="24"/>
    <w:link w:val="9"/>
    <w:autoRedefine/>
    <w:semiHidden/>
    <w:qFormat/>
    <w:uiPriority w:val="99"/>
    <w:rPr>
      <w:rFonts w:asciiTheme="minorHAnsi" w:hAnsiTheme="minorHAnsi" w:eastAsiaTheme="minorEastAsia" w:cstheme="minorBidi"/>
      <w:b/>
      <w:bCs/>
      <w:kern w:val="2"/>
      <w:sz w:val="21"/>
      <w:szCs w:val="22"/>
    </w:rPr>
  </w:style>
  <w:style w:type="character" w:customStyle="1" w:styleId="26">
    <w:name w:val="页眉 字符"/>
    <w:basedOn w:val="12"/>
    <w:link w:val="7"/>
    <w:qFormat/>
    <w:uiPriority w:val="99"/>
    <w:rPr>
      <w:rFonts w:asciiTheme="minorHAnsi" w:hAnsiTheme="minorHAnsi" w:eastAsiaTheme="minorEastAsia" w:cstheme="minorBidi"/>
      <w:kern w:val="2"/>
      <w:sz w:val="18"/>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4636</Words>
  <Characters>4737</Characters>
  <Lines>34</Lines>
  <Paragraphs>9</Paragraphs>
  <TotalTime>38</TotalTime>
  <ScaleCrop>false</ScaleCrop>
  <LinksUpToDate>false</LinksUpToDate>
  <CharactersWithSpaces>4737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2022-08-31T21:16:00Z</dcterms:created>
  <dc:creator>admin</dc:creator>
  <cp:lastModifiedBy>WPS_1591163723</cp:lastModifiedBy>
  <cp:lastPrinted>2022-09-04T15:19:00Z</cp:lastPrinted>
  <dcterms:modified xsi:type="dcterms:W3CDTF">2024-07-02T14:24:03Z</dcterms:modified>
  <cp:revision>385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BA5DABB0BA8E1C0E1FB5EE6592EE40E5_43</vt:lpwstr>
  </property>
</Properties>
</file>