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20B61" w14:textId="77777777" w:rsidR="00E27F6A" w:rsidRDefault="00851D38">
      <w:pPr>
        <w:widowControl w:val="0"/>
        <w:topLinePunct/>
        <w:adjustRightInd w:val="0"/>
        <w:jc w:val="center"/>
        <w:rPr>
          <w:rFonts w:ascii="宋体" w:eastAsia="宋体" w:hAnsi="宋体" w:cs="Arial Unicode MS"/>
          <w:b/>
          <w:sz w:val="32"/>
          <w:szCs w:val="32"/>
        </w:rPr>
      </w:pPr>
      <w:r>
        <w:rPr>
          <w:rFonts w:ascii="宋体" w:eastAsia="宋体" w:hAnsi="宋体" w:cs="Arial Unicode MS" w:hint="eastAsia"/>
          <w:b/>
          <w:sz w:val="32"/>
          <w:szCs w:val="32"/>
        </w:rPr>
        <w:t>江苏省中等职业学校国际贸易类专业</w:t>
      </w:r>
    </w:p>
    <w:p w14:paraId="376F3C0E" w14:textId="77777777" w:rsidR="00E27F6A" w:rsidRDefault="00851D38">
      <w:pPr>
        <w:spacing w:line="0" w:lineRule="atLeast"/>
        <w:jc w:val="center"/>
        <w:rPr>
          <w:rFonts w:ascii="宋体" w:eastAsia="宋体" w:hAnsi="宋体" w:cs="Arial Unicode MS"/>
          <w:b/>
          <w:sz w:val="32"/>
          <w:szCs w:val="32"/>
        </w:rPr>
      </w:pPr>
      <w:r>
        <w:rPr>
          <w:rFonts w:ascii="宋体" w:eastAsia="宋体" w:hAnsi="宋体" w:cs="Arial Unicode MS" w:hint="eastAsia"/>
          <w:b/>
          <w:sz w:val="32"/>
          <w:szCs w:val="32"/>
        </w:rPr>
        <w:t>《国际贸易地理与文化礼仪》课程标准（试行）</w:t>
      </w:r>
    </w:p>
    <w:p w14:paraId="009DF302" w14:textId="77777777" w:rsidR="00E27F6A" w:rsidRDefault="00851D38">
      <w:pPr>
        <w:widowControl w:val="0"/>
        <w:topLinePunct/>
        <w:adjustRightInd w:val="0"/>
        <w:spacing w:beforeLines="100" w:before="312"/>
        <w:ind w:firstLineChars="200" w:firstLine="562"/>
        <w:rPr>
          <w:rFonts w:ascii="宋体" w:eastAsia="宋体" w:hAnsi="宋体" w:cs="黑体"/>
          <w:b/>
          <w:sz w:val="28"/>
          <w:szCs w:val="28"/>
        </w:rPr>
      </w:pPr>
      <w:r>
        <w:rPr>
          <w:rFonts w:ascii="宋体" w:eastAsia="宋体" w:hAnsi="宋体" w:cs="黑体" w:hint="eastAsia"/>
          <w:b/>
          <w:sz w:val="28"/>
          <w:szCs w:val="28"/>
        </w:rPr>
        <w:t>一、课程性质</w:t>
      </w:r>
    </w:p>
    <w:p w14:paraId="30A9F824"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课程是江苏省中等职业学校国际贸易类专业必修的一门理论与实践相结合的专业类平台课程，其任务是让国际贸易类各专业学生掌握国际贸易地理和外贸业务活动中涉外商务文化礼仪的基础知识和基本技能，为培养其行业通用能力提供课程支撑，同时也为相关专业后续课程学习奠定基础。</w:t>
      </w:r>
    </w:p>
    <w:p w14:paraId="301E7EA5" w14:textId="77777777" w:rsidR="00E27F6A" w:rsidRDefault="00851D38">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二、学时与学分</w:t>
      </w:r>
    </w:p>
    <w:p w14:paraId="5A41A5B0"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72</w:t>
      </w:r>
      <w:r>
        <w:rPr>
          <w:rFonts w:ascii="宋体" w:eastAsia="宋体" w:hAnsi="宋体" w:cs="宋体" w:hint="eastAsia"/>
          <w:sz w:val="24"/>
        </w:rPr>
        <w:t>学时</w:t>
      </w:r>
      <w:r>
        <w:rPr>
          <w:rFonts w:ascii="宋体" w:eastAsia="宋体" w:hAnsi="宋体" w:cs="宋体"/>
          <w:sz w:val="24"/>
        </w:rPr>
        <w:t>，</w:t>
      </w:r>
      <w:r>
        <w:rPr>
          <w:rFonts w:ascii="宋体" w:eastAsia="宋体" w:hAnsi="宋体" w:cs="宋体"/>
          <w:sz w:val="24"/>
        </w:rPr>
        <w:t>4</w:t>
      </w:r>
      <w:r>
        <w:rPr>
          <w:rFonts w:ascii="宋体" w:eastAsia="宋体" w:hAnsi="宋体" w:cs="宋体" w:hint="eastAsia"/>
          <w:sz w:val="24"/>
        </w:rPr>
        <w:t>学分。</w:t>
      </w:r>
    </w:p>
    <w:p w14:paraId="4DAE5E29" w14:textId="77777777" w:rsidR="00E27F6A" w:rsidRDefault="00851D38">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三、课程设计思路</w:t>
      </w:r>
    </w:p>
    <w:p w14:paraId="061B3778"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本课程按照立德树人根本任务要求，突出职业</w:t>
      </w:r>
      <w:r>
        <w:rPr>
          <w:rFonts w:ascii="宋体" w:eastAsia="宋体" w:hAnsi="宋体" w:cs="宋体"/>
          <w:sz w:val="24"/>
        </w:rPr>
        <w:t>能力培养，兼顾中高职课程衔接，高度融合</w:t>
      </w:r>
      <w:r>
        <w:rPr>
          <w:rFonts w:ascii="宋体" w:eastAsia="宋体" w:hAnsi="宋体" w:cs="宋体" w:hint="eastAsia"/>
          <w:sz w:val="24"/>
        </w:rPr>
        <w:t>国际贸易地理、国际商务文化礼仪等知识技能的学习</w:t>
      </w:r>
      <w:r>
        <w:rPr>
          <w:rFonts w:ascii="宋体" w:eastAsia="宋体" w:hAnsi="宋体" w:cs="宋体"/>
          <w:sz w:val="24"/>
        </w:rPr>
        <w:t>和职业精神</w:t>
      </w:r>
      <w:r>
        <w:rPr>
          <w:rFonts w:ascii="宋体" w:eastAsia="宋体" w:hAnsi="宋体" w:cs="宋体" w:hint="eastAsia"/>
          <w:sz w:val="24"/>
        </w:rPr>
        <w:t>的</w:t>
      </w:r>
      <w:r>
        <w:rPr>
          <w:rFonts w:ascii="宋体" w:eastAsia="宋体" w:hAnsi="宋体" w:cs="宋体"/>
          <w:sz w:val="24"/>
        </w:rPr>
        <w:t>培养。</w:t>
      </w:r>
    </w:p>
    <w:p w14:paraId="06DCB7D1"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依据国际贸易专业类行业面向和职业面向，以及《江苏省中等职业学校国际贸易专业类课程指导方案》中确定的人才培养定位、综合素质、行业通用能力，按照知识与技能、过程与方法、情感态度与价值观三个维度，突出创新思维、审美、专业知识应用、沟通等能力的培养，结合学生职业生涯发展需要，确定本课程目标。</w:t>
      </w:r>
    </w:p>
    <w:p w14:paraId="6F8C07EB"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根据课程目标，以及外贸业务员、外贸单证员、跨境电商运营等外贸岗位需求，对接国家职业标准（初级）、外贸业务职业技能等级标准（初级）中所涉及的对外贸易行业的</w:t>
      </w:r>
      <w:r>
        <w:rPr>
          <w:rFonts w:ascii="宋体" w:eastAsia="宋体" w:hAnsi="宋体" w:cs="宋体" w:hint="eastAsia"/>
          <w:sz w:val="24"/>
        </w:rPr>
        <w:t>基础知识、基本技能和职业操守，兼顾职业道德、职业基础知识、安全知识、相关法律法规知识，反映数字技术对外贸新业态、新模式的创新推动，体现科学性、前沿性、适用性原则，确定本课程内容。</w:t>
      </w:r>
    </w:p>
    <w:p w14:paraId="7C42A2B9"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以“世界各国经济与文化认知促进跨文化交流”为主线，设置模块和教学单元，将职业岗位所需要的理论知识、专业技能和职业素养有机融入，根据学生认知规律和职业成长规律，序化教学内容。</w:t>
      </w:r>
    </w:p>
    <w:p w14:paraId="65503912" w14:textId="77777777" w:rsidR="00E27F6A" w:rsidRDefault="00851D38">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四、课程目标</w:t>
      </w:r>
    </w:p>
    <w:p w14:paraId="7244B583"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学生通过学习本课程</w:t>
      </w:r>
      <w:r>
        <w:rPr>
          <w:rFonts w:ascii="宋体" w:eastAsia="宋体" w:hAnsi="宋体" w:cs="宋体"/>
          <w:sz w:val="24"/>
        </w:rPr>
        <w:t>，</w:t>
      </w:r>
      <w:r>
        <w:rPr>
          <w:rFonts w:ascii="宋体" w:eastAsia="宋体" w:hAnsi="宋体" w:cs="宋体" w:hint="eastAsia"/>
          <w:sz w:val="24"/>
        </w:rPr>
        <w:t>掌握世界主要经贸大国经济贸易现状及文化礼仪相关知识，具备跨境贸易的基础知识与基本礼仪，能与海外客户进行良好沟通，树立正确</w:t>
      </w:r>
      <w:r>
        <w:rPr>
          <w:rFonts w:ascii="宋体" w:eastAsia="宋体" w:hAnsi="宋体" w:cs="宋体" w:hint="eastAsia"/>
          <w:sz w:val="24"/>
        </w:rPr>
        <w:t>的国际贸易职业理念，形成良好的国际贸易职业素养。</w:t>
      </w:r>
    </w:p>
    <w:p w14:paraId="7CD2E2C5" w14:textId="77777777" w:rsidR="00E27F6A" w:rsidRDefault="00851D38">
      <w:pPr>
        <w:spacing w:line="0" w:lineRule="atLeast"/>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了解自然地理环境和人文环境对国际贸易产生的积极和消极影响，能够对外贸市场变化有一定的判断能力。</w:t>
      </w:r>
    </w:p>
    <w:p w14:paraId="21F6C93B" w14:textId="77777777" w:rsidR="00E27F6A" w:rsidRDefault="00851D38">
      <w:pPr>
        <w:spacing w:line="0" w:lineRule="atLeast"/>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color w:val="000000" w:themeColor="text1"/>
          <w:sz w:val="24"/>
          <w:szCs w:val="24"/>
        </w:rPr>
        <w:t>掌握世界主要交易市场、工业区分布，以及石油、煤炭等主要资源和钢铁、电子、汽车等主要工业品的分布，能够清晰归纳我国主要外贸商品的进出口轨迹。</w:t>
      </w:r>
    </w:p>
    <w:p w14:paraId="50414DF0" w14:textId="77777777" w:rsidR="00E27F6A" w:rsidRDefault="00851D38">
      <w:pPr>
        <w:spacing w:line="0" w:lineRule="atLeast"/>
        <w:ind w:firstLineChars="200" w:firstLine="480"/>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了解国际贸易的主要运输方式及优缺点，掌握世界主要运输通道、港口及口岸、经济特区等重要交通枢纽，能够制定国际贸易运输计划，选择运输方式及线路。</w:t>
      </w:r>
    </w:p>
    <w:p w14:paraId="6C80DB55" w14:textId="77777777" w:rsidR="00E27F6A" w:rsidRDefault="00851D38">
      <w:pPr>
        <w:widowControl w:val="0"/>
        <w:spacing w:line="0" w:lineRule="atLeast"/>
        <w:ind w:firstLineChars="200" w:firstLine="480"/>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了解北美、欧洲和亚洲等主要经济国家的经贸地理和文化礼仪，能够描述这些国家的政治体制、经济发展、产业分布，及其人文习俗，并能归纳中国与世界各国的贸易关系及进出口商品结构与主要商品流向。</w:t>
      </w:r>
    </w:p>
    <w:p w14:paraId="4F33420F" w14:textId="77777777" w:rsidR="00E27F6A" w:rsidRDefault="00851D38">
      <w:pPr>
        <w:widowControl w:val="0"/>
        <w:spacing w:line="0" w:lineRule="atLeast"/>
        <w:ind w:firstLineChars="200" w:firstLine="480"/>
        <w:rPr>
          <w:rFonts w:ascii="宋体" w:eastAsia="宋体" w:hAnsi="宋体" w:cs="宋体"/>
          <w:sz w:val="24"/>
        </w:rPr>
      </w:pPr>
      <w:r>
        <w:rPr>
          <w:rFonts w:ascii="宋体" w:eastAsia="宋体" w:hAnsi="宋体" w:cs="宋体"/>
          <w:sz w:val="24"/>
        </w:rPr>
        <w:t>5.</w:t>
      </w:r>
      <w:r>
        <w:rPr>
          <w:rFonts w:ascii="宋体" w:eastAsia="宋体" w:hAnsi="宋体" w:cs="宋体" w:hint="eastAsia"/>
          <w:sz w:val="24"/>
        </w:rPr>
        <w:t>掌握世界经济与贸易的基础信息知识，加强跨境交流的基本知识储备，熟悉商</w:t>
      </w:r>
      <w:r>
        <w:rPr>
          <w:rFonts w:ascii="宋体" w:eastAsia="宋体" w:hAnsi="宋体" w:cs="宋体" w:hint="eastAsia"/>
          <w:sz w:val="24"/>
        </w:rPr>
        <w:lastRenderedPageBreak/>
        <w:t>务礼仪方式，初步具备接待海外客户及与客户沟通的能力。</w:t>
      </w:r>
    </w:p>
    <w:p w14:paraId="43D5F9CF"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6</w:t>
      </w:r>
      <w:r>
        <w:rPr>
          <w:rFonts w:ascii="宋体" w:eastAsia="宋体" w:hAnsi="宋体" w:cs="宋体"/>
          <w:sz w:val="24"/>
        </w:rPr>
        <w:t>.</w:t>
      </w:r>
      <w:r>
        <w:rPr>
          <w:rFonts w:ascii="宋体" w:eastAsia="宋体" w:hAnsi="宋体" w:cs="宋体" w:hint="eastAsia"/>
          <w:sz w:val="24"/>
        </w:rPr>
        <w:t>认同国际贸易类专业，具备</w:t>
      </w:r>
      <w:r>
        <w:rPr>
          <w:rFonts w:ascii="宋体" w:eastAsia="宋体" w:hAnsi="宋体" w:cs="宋体" w:hint="eastAsia"/>
          <w:color w:val="000000" w:themeColor="text1"/>
          <w:sz w:val="24"/>
          <w:szCs w:val="24"/>
        </w:rPr>
        <w:t>外贸业务员、外贸营销员、跨境电商运营员</w:t>
      </w:r>
      <w:r>
        <w:rPr>
          <w:rFonts w:ascii="宋体" w:eastAsia="宋体" w:hAnsi="宋体" w:cs="宋体" w:hint="eastAsia"/>
          <w:sz w:val="24"/>
        </w:rPr>
        <w:t>等岗位的基本素质，具有良好的职业道德、职业操守和严谨务实的职业精神。</w:t>
      </w:r>
    </w:p>
    <w:p w14:paraId="1D7D745D" w14:textId="77777777" w:rsidR="00E27F6A" w:rsidRDefault="00851D38">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五、课程内容与要求</w:t>
      </w:r>
    </w:p>
    <w:tbl>
      <w:tblPr>
        <w:tblW w:w="8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5221"/>
        <w:gridCol w:w="599"/>
      </w:tblGrid>
      <w:tr w:rsidR="00E27F6A" w14:paraId="1797AEF4" w14:textId="77777777">
        <w:trPr>
          <w:trHeight w:val="20"/>
          <w:tblHeader/>
          <w:jc w:val="center"/>
        </w:trPr>
        <w:tc>
          <w:tcPr>
            <w:tcW w:w="1080" w:type="dxa"/>
            <w:tcMar>
              <w:left w:w="0" w:type="dxa"/>
              <w:right w:w="0" w:type="dxa"/>
            </w:tcMar>
            <w:vAlign w:val="center"/>
          </w:tcPr>
          <w:p w14:paraId="67FE6C2F" w14:textId="77777777" w:rsidR="00E27F6A" w:rsidRDefault="00851D38">
            <w:pPr>
              <w:jc w:val="center"/>
              <w:rPr>
                <w:rFonts w:ascii="宋体" w:eastAsia="宋体" w:hAnsi="宋体"/>
                <w:b/>
                <w:sz w:val="24"/>
                <w:szCs w:val="24"/>
              </w:rPr>
            </w:pPr>
            <w:r>
              <w:rPr>
                <w:rFonts w:ascii="宋体" w:eastAsia="宋体" w:hAnsi="宋体" w:hint="eastAsia"/>
                <w:b/>
                <w:sz w:val="24"/>
                <w:szCs w:val="24"/>
              </w:rPr>
              <w:t>模块</w:t>
            </w:r>
          </w:p>
        </w:tc>
        <w:tc>
          <w:tcPr>
            <w:tcW w:w="1956" w:type="dxa"/>
            <w:tcMar>
              <w:left w:w="0" w:type="dxa"/>
              <w:right w:w="0" w:type="dxa"/>
            </w:tcMar>
            <w:vAlign w:val="center"/>
          </w:tcPr>
          <w:p w14:paraId="5EFE635E" w14:textId="77777777" w:rsidR="00E27F6A" w:rsidRDefault="00851D38">
            <w:pPr>
              <w:jc w:val="center"/>
              <w:rPr>
                <w:rFonts w:ascii="宋体" w:eastAsia="宋体" w:hAnsi="宋体"/>
                <w:b/>
                <w:sz w:val="24"/>
                <w:szCs w:val="24"/>
              </w:rPr>
            </w:pPr>
            <w:r>
              <w:rPr>
                <w:rFonts w:ascii="宋体" w:eastAsia="宋体" w:hAnsi="宋体" w:hint="eastAsia"/>
                <w:b/>
                <w:sz w:val="24"/>
                <w:szCs w:val="24"/>
              </w:rPr>
              <w:t>教学单元</w:t>
            </w:r>
          </w:p>
        </w:tc>
        <w:tc>
          <w:tcPr>
            <w:tcW w:w="5221" w:type="dxa"/>
            <w:tcMar>
              <w:left w:w="0" w:type="dxa"/>
              <w:right w:w="0" w:type="dxa"/>
            </w:tcMar>
            <w:vAlign w:val="center"/>
          </w:tcPr>
          <w:p w14:paraId="776C9FA8" w14:textId="77777777" w:rsidR="00E27F6A" w:rsidRDefault="00851D38" w:rsidP="002C42FD">
            <w:pPr>
              <w:jc w:val="center"/>
              <w:rPr>
                <w:rFonts w:ascii="宋体" w:eastAsia="宋体" w:hAnsi="宋体"/>
                <w:b/>
                <w:sz w:val="24"/>
                <w:szCs w:val="24"/>
              </w:rPr>
            </w:pPr>
            <w:r>
              <w:rPr>
                <w:rFonts w:ascii="宋体" w:eastAsia="宋体" w:hAnsi="宋体" w:hint="eastAsia"/>
                <w:b/>
                <w:sz w:val="24"/>
                <w:szCs w:val="24"/>
              </w:rPr>
              <w:t>内容及要求</w:t>
            </w:r>
            <w:bookmarkStart w:id="0" w:name="_GoBack"/>
            <w:bookmarkEnd w:id="0"/>
          </w:p>
        </w:tc>
        <w:tc>
          <w:tcPr>
            <w:tcW w:w="599" w:type="dxa"/>
            <w:tcMar>
              <w:left w:w="0" w:type="dxa"/>
              <w:right w:w="0" w:type="dxa"/>
            </w:tcMar>
            <w:vAlign w:val="center"/>
          </w:tcPr>
          <w:p w14:paraId="4A52EBCA" w14:textId="77777777" w:rsidR="00E27F6A" w:rsidRDefault="00851D38">
            <w:pPr>
              <w:jc w:val="center"/>
              <w:rPr>
                <w:rFonts w:ascii="宋体" w:eastAsia="宋体" w:hAnsi="宋体"/>
                <w:b/>
                <w:sz w:val="24"/>
                <w:szCs w:val="24"/>
              </w:rPr>
            </w:pPr>
            <w:r>
              <w:rPr>
                <w:rFonts w:ascii="宋体" w:eastAsia="宋体" w:hAnsi="宋体" w:hint="eastAsia"/>
                <w:b/>
                <w:sz w:val="24"/>
                <w:szCs w:val="24"/>
              </w:rPr>
              <w:t>参考学时</w:t>
            </w:r>
          </w:p>
        </w:tc>
      </w:tr>
      <w:tr w:rsidR="00E27F6A" w14:paraId="225F9D11" w14:textId="77777777">
        <w:trPr>
          <w:trHeight w:val="20"/>
          <w:jc w:val="center"/>
        </w:trPr>
        <w:tc>
          <w:tcPr>
            <w:tcW w:w="1080" w:type="dxa"/>
            <w:vMerge w:val="restart"/>
            <w:tcMar>
              <w:left w:w="0" w:type="dxa"/>
              <w:right w:w="0" w:type="dxa"/>
            </w:tcMar>
            <w:vAlign w:val="center"/>
          </w:tcPr>
          <w:p w14:paraId="59E67AB7" w14:textId="77777777" w:rsidR="00E27F6A" w:rsidRDefault="00851D38">
            <w:pPr>
              <w:jc w:val="center"/>
              <w:rPr>
                <w:rFonts w:ascii="宋体" w:eastAsia="宋体" w:hAnsi="宋体" w:cs="宋体"/>
                <w:sz w:val="24"/>
              </w:rPr>
            </w:pPr>
            <w:r>
              <w:rPr>
                <w:rFonts w:ascii="宋体" w:eastAsia="宋体" w:hAnsi="宋体" w:cs="宋体" w:hint="eastAsia"/>
                <w:sz w:val="24"/>
              </w:rPr>
              <w:t>经贸地理与人文环境</w:t>
            </w:r>
          </w:p>
        </w:tc>
        <w:tc>
          <w:tcPr>
            <w:tcW w:w="1956" w:type="dxa"/>
            <w:tcMar>
              <w:left w:w="0" w:type="dxa"/>
              <w:right w:w="0" w:type="dxa"/>
            </w:tcMar>
            <w:vAlign w:val="center"/>
          </w:tcPr>
          <w:p w14:paraId="54C798F3" w14:textId="77777777" w:rsidR="00E27F6A" w:rsidRDefault="00851D38">
            <w:pPr>
              <w:jc w:val="center"/>
              <w:rPr>
                <w:rFonts w:ascii="宋体" w:eastAsia="宋体" w:hAnsi="宋体" w:cs="宋体"/>
                <w:sz w:val="24"/>
              </w:rPr>
            </w:pPr>
            <w:r>
              <w:rPr>
                <w:rFonts w:ascii="宋体" w:eastAsia="宋体" w:hAnsi="宋体" w:cs="宋体" w:hint="eastAsia"/>
                <w:sz w:val="24"/>
              </w:rPr>
              <w:t>地理环境与国际贸易</w:t>
            </w:r>
          </w:p>
        </w:tc>
        <w:tc>
          <w:tcPr>
            <w:tcW w:w="5221" w:type="dxa"/>
            <w:tcMar>
              <w:left w:w="0" w:type="dxa"/>
              <w:right w:w="0" w:type="dxa"/>
            </w:tcMar>
            <w:vAlign w:val="center"/>
          </w:tcPr>
          <w:p w14:paraId="16A88E4D"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掌握国际贸易地理的研究对象与研究内容；</w:t>
            </w:r>
          </w:p>
          <w:p w14:paraId="0BDB636E"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了解自然地理环境的构成要素；</w:t>
            </w:r>
          </w:p>
          <w:p w14:paraId="68E7BDA9"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了解世界主要运输通道、港口及口岸、经济特区等重要交通枢纽；</w:t>
            </w:r>
          </w:p>
          <w:p w14:paraId="58C036F9"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4</w:t>
            </w:r>
            <w:r>
              <w:rPr>
                <w:rFonts w:ascii="宋体" w:eastAsia="宋体" w:hAnsi="宋体" w:cs="宋体"/>
                <w:sz w:val="24"/>
              </w:rPr>
              <w:t>.</w:t>
            </w:r>
            <w:r>
              <w:rPr>
                <w:rFonts w:ascii="宋体" w:eastAsia="宋体" w:hAnsi="宋体" w:cs="宋体" w:hint="eastAsia"/>
                <w:sz w:val="24"/>
              </w:rPr>
              <w:t>能结合实际分析地理要素对经济及国际贸易产</w:t>
            </w:r>
            <w:r>
              <w:rPr>
                <w:rFonts w:ascii="宋体" w:eastAsia="宋体" w:hAnsi="宋体" w:cs="宋体" w:hint="eastAsia"/>
                <w:sz w:val="24"/>
              </w:rPr>
              <w:t>生的积极影响和消极影响</w:t>
            </w:r>
          </w:p>
        </w:tc>
        <w:tc>
          <w:tcPr>
            <w:tcW w:w="599" w:type="dxa"/>
            <w:vMerge w:val="restart"/>
            <w:tcMar>
              <w:left w:w="0" w:type="dxa"/>
              <w:right w:w="0" w:type="dxa"/>
            </w:tcMar>
            <w:vAlign w:val="center"/>
          </w:tcPr>
          <w:p w14:paraId="13586D7F" w14:textId="77777777" w:rsidR="00E27F6A" w:rsidRDefault="00851D38">
            <w:pPr>
              <w:jc w:val="center"/>
              <w:rPr>
                <w:rFonts w:asciiTheme="majorEastAsia" w:eastAsiaTheme="majorEastAsia" w:hAnsiTheme="majorEastAsia"/>
                <w:bCs/>
                <w:sz w:val="24"/>
                <w:szCs w:val="24"/>
                <w:highlight w:val="yellow"/>
              </w:rPr>
            </w:pPr>
            <w:r>
              <w:rPr>
                <w:rFonts w:asciiTheme="majorEastAsia" w:eastAsiaTheme="majorEastAsia" w:hAnsiTheme="majorEastAsia"/>
                <w:bCs/>
                <w:sz w:val="24"/>
                <w:szCs w:val="24"/>
              </w:rPr>
              <w:t>1</w:t>
            </w:r>
            <w:r>
              <w:rPr>
                <w:rFonts w:asciiTheme="majorEastAsia" w:eastAsiaTheme="majorEastAsia" w:hAnsiTheme="majorEastAsia"/>
                <w:bCs/>
                <w:sz w:val="24"/>
                <w:szCs w:val="24"/>
              </w:rPr>
              <w:t>0</w:t>
            </w:r>
          </w:p>
        </w:tc>
      </w:tr>
      <w:tr w:rsidR="00E27F6A" w14:paraId="50DF9DBA" w14:textId="77777777">
        <w:trPr>
          <w:trHeight w:val="20"/>
          <w:jc w:val="center"/>
        </w:trPr>
        <w:tc>
          <w:tcPr>
            <w:tcW w:w="1080" w:type="dxa"/>
            <w:vMerge/>
            <w:tcMar>
              <w:left w:w="0" w:type="dxa"/>
              <w:right w:w="0" w:type="dxa"/>
            </w:tcMar>
            <w:vAlign w:val="center"/>
          </w:tcPr>
          <w:p w14:paraId="603AEC7B"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24CE769A" w14:textId="77777777" w:rsidR="00E27F6A" w:rsidRDefault="00851D38">
            <w:pPr>
              <w:jc w:val="center"/>
              <w:rPr>
                <w:rFonts w:ascii="宋体" w:eastAsia="宋体" w:hAnsi="宋体" w:cs="宋体"/>
                <w:sz w:val="24"/>
              </w:rPr>
            </w:pPr>
            <w:r>
              <w:rPr>
                <w:rFonts w:ascii="宋体" w:eastAsia="宋体" w:hAnsi="宋体" w:cs="宋体" w:hint="eastAsia"/>
                <w:sz w:val="24"/>
              </w:rPr>
              <w:t>人文环境与国际贸易</w:t>
            </w:r>
          </w:p>
        </w:tc>
        <w:tc>
          <w:tcPr>
            <w:tcW w:w="5221" w:type="dxa"/>
            <w:tcMar>
              <w:left w:w="0" w:type="dxa"/>
              <w:right w:w="0" w:type="dxa"/>
            </w:tcMar>
            <w:vAlign w:val="center"/>
          </w:tcPr>
          <w:p w14:paraId="36A9E789"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掌握人文环境的主要构成部分；</w:t>
            </w:r>
          </w:p>
          <w:p w14:paraId="77D031CE"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了解人文环境要素及其对经济和国际贸易的影响；</w:t>
            </w:r>
          </w:p>
          <w:p w14:paraId="5C2EC701"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能根据材料，正确分析自然环境、人文环境对经贸活动的影响</w:t>
            </w:r>
          </w:p>
        </w:tc>
        <w:tc>
          <w:tcPr>
            <w:tcW w:w="599" w:type="dxa"/>
            <w:vMerge/>
            <w:tcMar>
              <w:left w:w="0" w:type="dxa"/>
              <w:right w:w="0" w:type="dxa"/>
            </w:tcMar>
            <w:vAlign w:val="center"/>
          </w:tcPr>
          <w:p w14:paraId="68C64635" w14:textId="77777777" w:rsidR="00E27F6A" w:rsidRDefault="00E27F6A">
            <w:pPr>
              <w:jc w:val="center"/>
              <w:rPr>
                <w:rFonts w:asciiTheme="majorEastAsia" w:eastAsiaTheme="majorEastAsia" w:hAnsiTheme="majorEastAsia"/>
                <w:bCs/>
                <w:sz w:val="24"/>
                <w:szCs w:val="24"/>
                <w:highlight w:val="yellow"/>
              </w:rPr>
            </w:pPr>
          </w:p>
        </w:tc>
      </w:tr>
      <w:tr w:rsidR="00E27F6A" w14:paraId="200B09B7" w14:textId="77777777">
        <w:trPr>
          <w:trHeight w:val="20"/>
          <w:jc w:val="center"/>
        </w:trPr>
        <w:tc>
          <w:tcPr>
            <w:tcW w:w="1080" w:type="dxa"/>
            <w:vMerge w:val="restart"/>
            <w:tcMar>
              <w:left w:w="0" w:type="dxa"/>
              <w:right w:w="0" w:type="dxa"/>
            </w:tcMar>
            <w:vAlign w:val="center"/>
          </w:tcPr>
          <w:p w14:paraId="56452D81" w14:textId="77777777" w:rsidR="00E27F6A" w:rsidRDefault="00851D38">
            <w:pPr>
              <w:jc w:val="center"/>
              <w:rPr>
                <w:rFonts w:ascii="宋体" w:eastAsia="宋体" w:hAnsi="宋体" w:cs="宋体"/>
                <w:sz w:val="24"/>
              </w:rPr>
            </w:pPr>
            <w:r>
              <w:rPr>
                <w:rFonts w:ascii="宋体" w:eastAsia="宋体" w:hAnsi="宋体" w:cs="宋体" w:hint="eastAsia"/>
                <w:sz w:val="24"/>
              </w:rPr>
              <w:t>世界市场与主要交易商品分布</w:t>
            </w:r>
          </w:p>
        </w:tc>
        <w:tc>
          <w:tcPr>
            <w:tcW w:w="1956" w:type="dxa"/>
            <w:tcMar>
              <w:left w:w="0" w:type="dxa"/>
              <w:right w:w="0" w:type="dxa"/>
            </w:tcMar>
            <w:vAlign w:val="center"/>
          </w:tcPr>
          <w:p w14:paraId="0C7EABDB" w14:textId="77777777" w:rsidR="00E27F6A" w:rsidRDefault="00851D38">
            <w:pPr>
              <w:jc w:val="center"/>
              <w:rPr>
                <w:rFonts w:ascii="宋体" w:eastAsia="宋体" w:hAnsi="宋体" w:cs="宋体"/>
                <w:sz w:val="24"/>
              </w:rPr>
            </w:pPr>
            <w:r>
              <w:rPr>
                <w:rFonts w:ascii="宋体" w:eastAsia="宋体" w:hAnsi="宋体" w:cs="宋体" w:hint="eastAsia"/>
                <w:sz w:val="24"/>
              </w:rPr>
              <w:t>世界贸易市场</w:t>
            </w:r>
          </w:p>
        </w:tc>
        <w:tc>
          <w:tcPr>
            <w:tcW w:w="5221" w:type="dxa"/>
            <w:tcMar>
              <w:left w:w="0" w:type="dxa"/>
              <w:right w:w="0" w:type="dxa"/>
            </w:tcMar>
            <w:vAlign w:val="center"/>
          </w:tcPr>
          <w:p w14:paraId="6D4B283A"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了解世界贸易市场形成的条件、历史发展及国际贸易的主要运输方式；</w:t>
            </w:r>
          </w:p>
          <w:p w14:paraId="64A720E7" w14:textId="77777777" w:rsidR="00E27F6A" w:rsidRDefault="00851D38" w:rsidP="002C42FD">
            <w:pPr>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熟悉主要世界市场贸易中心区的分布及其特征；</w:t>
            </w:r>
          </w:p>
          <w:p w14:paraId="3964C7A0" w14:textId="77777777" w:rsidR="00E27F6A" w:rsidRDefault="00851D38" w:rsidP="002C42FD">
            <w:pPr>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能归纳世界贸易市场的主要贸易方式；</w:t>
            </w:r>
          </w:p>
          <w:p w14:paraId="4BDCF8A5" w14:textId="77777777" w:rsidR="00E27F6A" w:rsidRDefault="00851D38" w:rsidP="002C42FD">
            <w:pPr>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能正确归纳各种运输方式的优缺点；</w:t>
            </w:r>
          </w:p>
          <w:p w14:paraId="5F0CD9E7"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5</w:t>
            </w:r>
            <w:r>
              <w:rPr>
                <w:rFonts w:ascii="宋体" w:eastAsia="宋体" w:hAnsi="宋体" w:cs="宋体"/>
                <w:sz w:val="24"/>
              </w:rPr>
              <w:t>.</w:t>
            </w:r>
            <w:r>
              <w:rPr>
                <w:rFonts w:ascii="宋体" w:eastAsia="宋体" w:hAnsi="宋体" w:cs="宋体" w:hint="eastAsia"/>
                <w:sz w:val="24"/>
              </w:rPr>
              <w:t>能根据各种运输方式的优缺点，并结合实际，初步选择合适的运输方式及线路，制定国际贸易运输方案；</w:t>
            </w:r>
          </w:p>
          <w:p w14:paraId="1B5DD024" w14:textId="77777777" w:rsidR="00E27F6A" w:rsidRDefault="00851D38" w:rsidP="002C42FD">
            <w:pPr>
              <w:jc w:val="both"/>
              <w:rPr>
                <w:rFonts w:ascii="宋体" w:eastAsia="宋体" w:hAnsi="宋体" w:cs="宋体"/>
                <w:sz w:val="24"/>
              </w:rPr>
            </w:pPr>
            <w:r>
              <w:rPr>
                <w:rFonts w:ascii="宋体" w:eastAsia="宋体" w:hAnsi="宋体" w:cs="宋体"/>
                <w:sz w:val="24"/>
              </w:rPr>
              <w:t>6.</w:t>
            </w:r>
            <w:r>
              <w:rPr>
                <w:rFonts w:ascii="宋体" w:eastAsia="宋体" w:hAnsi="宋体" w:cs="宋体" w:hint="eastAsia"/>
                <w:sz w:val="24"/>
              </w:rPr>
              <w:t>能结合实际概括中国在世界贸易市场中的地位</w:t>
            </w:r>
          </w:p>
        </w:tc>
        <w:tc>
          <w:tcPr>
            <w:tcW w:w="599" w:type="dxa"/>
            <w:vMerge w:val="restart"/>
            <w:tcMar>
              <w:left w:w="0" w:type="dxa"/>
              <w:right w:w="0" w:type="dxa"/>
            </w:tcMar>
            <w:vAlign w:val="center"/>
          </w:tcPr>
          <w:p w14:paraId="3E702A56" w14:textId="77777777" w:rsidR="00E27F6A" w:rsidRDefault="00851D38">
            <w:pPr>
              <w:jc w:val="center"/>
              <w:rPr>
                <w:rFonts w:asciiTheme="majorEastAsia" w:eastAsiaTheme="majorEastAsia" w:hAnsiTheme="majorEastAsia"/>
                <w:bCs/>
                <w:sz w:val="24"/>
                <w:szCs w:val="24"/>
                <w:highlight w:val="yellow"/>
              </w:rPr>
            </w:pPr>
            <w:r>
              <w:rPr>
                <w:rFonts w:asciiTheme="majorEastAsia" w:eastAsiaTheme="majorEastAsia" w:hAnsiTheme="majorEastAsia"/>
                <w:bCs/>
                <w:sz w:val="24"/>
                <w:szCs w:val="24"/>
              </w:rPr>
              <w:t>12</w:t>
            </w:r>
          </w:p>
        </w:tc>
      </w:tr>
      <w:tr w:rsidR="00E27F6A" w14:paraId="16369789" w14:textId="77777777">
        <w:trPr>
          <w:trHeight w:val="20"/>
          <w:jc w:val="center"/>
        </w:trPr>
        <w:tc>
          <w:tcPr>
            <w:tcW w:w="1080" w:type="dxa"/>
            <w:vMerge/>
            <w:tcMar>
              <w:left w:w="0" w:type="dxa"/>
              <w:right w:w="0" w:type="dxa"/>
            </w:tcMar>
            <w:vAlign w:val="center"/>
          </w:tcPr>
          <w:p w14:paraId="515366A9"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1A75AAF9" w14:textId="77777777" w:rsidR="00E27F6A" w:rsidRDefault="00851D38">
            <w:pPr>
              <w:jc w:val="center"/>
              <w:rPr>
                <w:rFonts w:ascii="宋体" w:eastAsia="宋体" w:hAnsi="宋体" w:cs="宋体"/>
                <w:sz w:val="24"/>
              </w:rPr>
            </w:pPr>
            <w:r>
              <w:rPr>
                <w:rFonts w:ascii="宋体" w:eastAsia="宋体" w:hAnsi="宋体" w:cs="宋体" w:hint="eastAsia"/>
                <w:sz w:val="24"/>
              </w:rPr>
              <w:t>世界主要交易商品分布</w:t>
            </w:r>
          </w:p>
        </w:tc>
        <w:tc>
          <w:tcPr>
            <w:tcW w:w="5221" w:type="dxa"/>
            <w:tcMar>
              <w:left w:w="0" w:type="dxa"/>
              <w:right w:w="0" w:type="dxa"/>
            </w:tcMar>
            <w:vAlign w:val="center"/>
          </w:tcPr>
          <w:p w14:paraId="5C0FFE4B"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掌握世界三大能源的分布区域，能归纳能源贸易的特点和主要进出口地；</w:t>
            </w:r>
          </w:p>
          <w:p w14:paraId="49D388F4"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熟悉国际主要矿产资源、农产品及工业制成品贸易的地区分布与贸易流向；</w:t>
            </w:r>
          </w:p>
          <w:p w14:paraId="739C5373"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能结合实际归纳中国在国际能源交易、农产品贸易和工业制成品贸易中的地位</w:t>
            </w:r>
          </w:p>
        </w:tc>
        <w:tc>
          <w:tcPr>
            <w:tcW w:w="599" w:type="dxa"/>
            <w:vMerge/>
            <w:tcMar>
              <w:left w:w="0" w:type="dxa"/>
              <w:right w:w="0" w:type="dxa"/>
            </w:tcMar>
            <w:vAlign w:val="center"/>
          </w:tcPr>
          <w:p w14:paraId="63EFF090" w14:textId="77777777" w:rsidR="00E27F6A" w:rsidRDefault="00E27F6A">
            <w:pPr>
              <w:jc w:val="center"/>
              <w:rPr>
                <w:rFonts w:asciiTheme="majorEastAsia" w:eastAsiaTheme="majorEastAsia" w:hAnsiTheme="majorEastAsia"/>
                <w:bCs/>
                <w:sz w:val="24"/>
                <w:szCs w:val="24"/>
                <w:highlight w:val="yellow"/>
              </w:rPr>
            </w:pPr>
          </w:p>
        </w:tc>
      </w:tr>
      <w:tr w:rsidR="00E27F6A" w14:paraId="27BC77A1" w14:textId="77777777">
        <w:trPr>
          <w:trHeight w:val="20"/>
          <w:jc w:val="center"/>
        </w:trPr>
        <w:tc>
          <w:tcPr>
            <w:tcW w:w="1080" w:type="dxa"/>
            <w:vMerge w:val="restart"/>
            <w:tcMar>
              <w:left w:w="0" w:type="dxa"/>
              <w:right w:w="0" w:type="dxa"/>
            </w:tcMar>
            <w:vAlign w:val="center"/>
          </w:tcPr>
          <w:p w14:paraId="5C2F89C1" w14:textId="77777777" w:rsidR="00E27F6A" w:rsidRDefault="00851D38">
            <w:pPr>
              <w:jc w:val="center"/>
              <w:rPr>
                <w:rFonts w:ascii="宋体" w:eastAsia="宋体" w:hAnsi="宋体" w:cs="宋体"/>
                <w:sz w:val="24"/>
              </w:rPr>
            </w:pPr>
            <w:r>
              <w:rPr>
                <w:rFonts w:ascii="宋体" w:eastAsia="宋体" w:hAnsi="宋体" w:cs="宋体" w:hint="eastAsia"/>
                <w:sz w:val="24"/>
              </w:rPr>
              <w:t>北美经贸大国</w:t>
            </w:r>
          </w:p>
        </w:tc>
        <w:tc>
          <w:tcPr>
            <w:tcW w:w="1956" w:type="dxa"/>
            <w:tcMar>
              <w:left w:w="0" w:type="dxa"/>
              <w:right w:w="0" w:type="dxa"/>
            </w:tcMar>
            <w:vAlign w:val="center"/>
          </w:tcPr>
          <w:p w14:paraId="2620F8EE" w14:textId="77777777" w:rsidR="00E27F6A" w:rsidRDefault="00851D38">
            <w:pPr>
              <w:jc w:val="center"/>
              <w:rPr>
                <w:rFonts w:ascii="宋体" w:eastAsia="宋体" w:hAnsi="宋体" w:cs="宋体"/>
                <w:sz w:val="24"/>
              </w:rPr>
            </w:pPr>
            <w:r>
              <w:rPr>
                <w:rFonts w:ascii="宋体" w:eastAsia="宋体" w:hAnsi="宋体" w:cs="宋体" w:hint="eastAsia"/>
                <w:sz w:val="24"/>
              </w:rPr>
              <w:t>北美自由贸易区</w:t>
            </w:r>
          </w:p>
        </w:tc>
        <w:tc>
          <w:tcPr>
            <w:tcW w:w="5221" w:type="dxa"/>
            <w:tcMar>
              <w:left w:w="0" w:type="dxa"/>
              <w:right w:w="0" w:type="dxa"/>
            </w:tcMar>
            <w:vAlign w:val="center"/>
          </w:tcPr>
          <w:p w14:paraId="4E109DA8" w14:textId="77777777" w:rsidR="00E27F6A" w:rsidRDefault="00851D38" w:rsidP="002C42FD">
            <w:pPr>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了解北美自由贸易区的形成与区域优势；</w:t>
            </w:r>
          </w:p>
          <w:p w14:paraId="234467BC"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理解北美自由贸易区发展对我国贸易产生的影响</w:t>
            </w:r>
          </w:p>
        </w:tc>
        <w:tc>
          <w:tcPr>
            <w:tcW w:w="599" w:type="dxa"/>
            <w:vMerge w:val="restart"/>
            <w:tcMar>
              <w:left w:w="0" w:type="dxa"/>
              <w:right w:w="0" w:type="dxa"/>
            </w:tcMar>
            <w:vAlign w:val="center"/>
          </w:tcPr>
          <w:p w14:paraId="1CB00995" w14:textId="77777777" w:rsidR="00E27F6A" w:rsidRDefault="00851D38">
            <w:pPr>
              <w:jc w:val="center"/>
              <w:rPr>
                <w:rFonts w:asciiTheme="majorEastAsia" w:eastAsiaTheme="majorEastAsia" w:hAnsiTheme="majorEastAsia"/>
                <w:bCs/>
                <w:sz w:val="24"/>
                <w:szCs w:val="24"/>
                <w:highlight w:val="yellow"/>
              </w:rPr>
            </w:pPr>
            <w:r>
              <w:rPr>
                <w:rFonts w:asciiTheme="majorEastAsia" w:eastAsiaTheme="majorEastAsia" w:hAnsiTheme="majorEastAsia"/>
                <w:bCs/>
                <w:sz w:val="24"/>
                <w:szCs w:val="24"/>
              </w:rPr>
              <w:t>10</w:t>
            </w:r>
          </w:p>
        </w:tc>
      </w:tr>
      <w:tr w:rsidR="00E27F6A" w14:paraId="03651291" w14:textId="77777777">
        <w:trPr>
          <w:trHeight w:val="20"/>
          <w:jc w:val="center"/>
        </w:trPr>
        <w:tc>
          <w:tcPr>
            <w:tcW w:w="1080" w:type="dxa"/>
            <w:vMerge/>
            <w:tcMar>
              <w:left w:w="0" w:type="dxa"/>
              <w:right w:w="0" w:type="dxa"/>
            </w:tcMar>
            <w:vAlign w:val="center"/>
          </w:tcPr>
          <w:p w14:paraId="610E412B"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061D1EF4" w14:textId="77777777" w:rsidR="00E27F6A" w:rsidRDefault="00851D38">
            <w:pPr>
              <w:jc w:val="center"/>
              <w:rPr>
                <w:rFonts w:ascii="宋体" w:eastAsia="宋体" w:hAnsi="宋体" w:cs="宋体"/>
                <w:sz w:val="24"/>
              </w:rPr>
            </w:pPr>
            <w:r>
              <w:rPr>
                <w:rFonts w:ascii="宋体" w:eastAsia="宋体" w:hAnsi="宋体" w:cs="宋体" w:hint="eastAsia"/>
                <w:sz w:val="24"/>
              </w:rPr>
              <w:t>北美贸易大国地理与文化礼仪</w:t>
            </w:r>
          </w:p>
        </w:tc>
        <w:tc>
          <w:tcPr>
            <w:tcW w:w="5221" w:type="dxa"/>
            <w:tcMar>
              <w:left w:w="0" w:type="dxa"/>
              <w:right w:w="0" w:type="dxa"/>
            </w:tcMar>
            <w:vAlign w:val="center"/>
          </w:tcPr>
          <w:p w14:paraId="085580E1"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掌握美国、加拿大、墨西哥等国家的政治体制、经济发展、产业分布，及其人口民族、文化礼仪；</w:t>
            </w:r>
          </w:p>
          <w:p w14:paraId="530E3B34" w14:textId="77777777" w:rsidR="00E27F6A" w:rsidRDefault="00851D38" w:rsidP="002C42FD">
            <w:pPr>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熟悉北美贸易强国的对外贸易状况；</w:t>
            </w:r>
          </w:p>
          <w:p w14:paraId="249DA5DB"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能归纳对北美市场进口商品的需求分析，并能结合实际归纳我国与北美国家贸易中的出口优势</w:t>
            </w:r>
          </w:p>
        </w:tc>
        <w:tc>
          <w:tcPr>
            <w:tcW w:w="599" w:type="dxa"/>
            <w:vMerge/>
            <w:tcMar>
              <w:left w:w="0" w:type="dxa"/>
              <w:right w:w="0" w:type="dxa"/>
            </w:tcMar>
            <w:vAlign w:val="center"/>
          </w:tcPr>
          <w:p w14:paraId="1306319D" w14:textId="77777777" w:rsidR="00E27F6A" w:rsidRDefault="00E27F6A">
            <w:pPr>
              <w:jc w:val="center"/>
              <w:rPr>
                <w:rFonts w:asciiTheme="majorEastAsia" w:eastAsiaTheme="majorEastAsia" w:hAnsiTheme="majorEastAsia"/>
                <w:bCs/>
                <w:sz w:val="24"/>
                <w:szCs w:val="24"/>
                <w:highlight w:val="yellow"/>
              </w:rPr>
            </w:pPr>
          </w:p>
        </w:tc>
      </w:tr>
      <w:tr w:rsidR="00E27F6A" w14:paraId="083656CD" w14:textId="77777777">
        <w:trPr>
          <w:trHeight w:val="20"/>
          <w:jc w:val="center"/>
        </w:trPr>
        <w:tc>
          <w:tcPr>
            <w:tcW w:w="1080" w:type="dxa"/>
            <w:vMerge w:val="restart"/>
            <w:tcMar>
              <w:left w:w="0" w:type="dxa"/>
              <w:right w:w="0" w:type="dxa"/>
            </w:tcMar>
            <w:vAlign w:val="center"/>
          </w:tcPr>
          <w:p w14:paraId="678AF9A4" w14:textId="77777777" w:rsidR="00E27F6A" w:rsidRDefault="00851D38">
            <w:pPr>
              <w:jc w:val="center"/>
              <w:rPr>
                <w:rFonts w:ascii="宋体" w:eastAsia="宋体" w:hAnsi="宋体" w:cs="宋体"/>
                <w:sz w:val="24"/>
              </w:rPr>
            </w:pPr>
            <w:r>
              <w:rPr>
                <w:rFonts w:ascii="宋体" w:eastAsia="宋体" w:hAnsi="宋体" w:cs="宋体" w:hint="eastAsia"/>
                <w:sz w:val="24"/>
              </w:rPr>
              <w:t>欧洲经贸大国</w:t>
            </w:r>
          </w:p>
        </w:tc>
        <w:tc>
          <w:tcPr>
            <w:tcW w:w="1956" w:type="dxa"/>
            <w:tcMar>
              <w:left w:w="0" w:type="dxa"/>
              <w:right w:w="0" w:type="dxa"/>
            </w:tcMar>
            <w:vAlign w:val="center"/>
          </w:tcPr>
          <w:p w14:paraId="1DA67AD2" w14:textId="77777777" w:rsidR="00E27F6A" w:rsidRDefault="00851D38">
            <w:pPr>
              <w:jc w:val="center"/>
              <w:rPr>
                <w:rFonts w:ascii="宋体" w:eastAsia="宋体" w:hAnsi="宋体" w:cs="宋体"/>
                <w:sz w:val="24"/>
              </w:rPr>
            </w:pPr>
            <w:r>
              <w:rPr>
                <w:rFonts w:ascii="宋体" w:eastAsia="宋体" w:hAnsi="宋体" w:cs="宋体" w:hint="eastAsia"/>
                <w:sz w:val="24"/>
              </w:rPr>
              <w:t>欧洲联盟</w:t>
            </w:r>
          </w:p>
        </w:tc>
        <w:tc>
          <w:tcPr>
            <w:tcW w:w="5221" w:type="dxa"/>
            <w:tcMar>
              <w:left w:w="0" w:type="dxa"/>
              <w:right w:w="0" w:type="dxa"/>
            </w:tcMar>
            <w:vAlign w:val="center"/>
          </w:tcPr>
          <w:p w14:paraId="5184A61C"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了解欧盟的形成、组织机构及欧盟主要经贸政策；</w:t>
            </w:r>
          </w:p>
          <w:p w14:paraId="5192B8F3" w14:textId="77777777" w:rsidR="00E27F6A" w:rsidRDefault="00851D38" w:rsidP="002C42FD">
            <w:pPr>
              <w:ind w:left="-2"/>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能分析欧盟经济发展所面临的挑战</w:t>
            </w:r>
          </w:p>
        </w:tc>
        <w:tc>
          <w:tcPr>
            <w:tcW w:w="599" w:type="dxa"/>
            <w:vMerge w:val="restart"/>
            <w:tcMar>
              <w:left w:w="0" w:type="dxa"/>
              <w:right w:w="0" w:type="dxa"/>
            </w:tcMar>
            <w:vAlign w:val="center"/>
          </w:tcPr>
          <w:p w14:paraId="720D144B" w14:textId="77777777" w:rsidR="00E27F6A" w:rsidRDefault="00851D38">
            <w:pPr>
              <w:jc w:val="center"/>
              <w:rPr>
                <w:rFonts w:asciiTheme="majorEastAsia" w:eastAsiaTheme="majorEastAsia" w:hAnsiTheme="majorEastAsia"/>
                <w:sz w:val="24"/>
                <w:szCs w:val="24"/>
                <w:highlight w:val="yellow"/>
              </w:rPr>
            </w:pPr>
            <w:r>
              <w:rPr>
                <w:rFonts w:asciiTheme="majorEastAsia" w:eastAsiaTheme="majorEastAsia" w:hAnsiTheme="majorEastAsia" w:hint="eastAsia"/>
                <w:sz w:val="24"/>
                <w:szCs w:val="24"/>
              </w:rPr>
              <w:t>1</w:t>
            </w:r>
            <w:r>
              <w:rPr>
                <w:rFonts w:asciiTheme="majorEastAsia" w:eastAsiaTheme="majorEastAsia" w:hAnsiTheme="majorEastAsia"/>
                <w:sz w:val="24"/>
                <w:szCs w:val="24"/>
              </w:rPr>
              <w:t>2</w:t>
            </w:r>
          </w:p>
        </w:tc>
      </w:tr>
      <w:tr w:rsidR="00E27F6A" w14:paraId="74422C45" w14:textId="77777777">
        <w:trPr>
          <w:trHeight w:val="20"/>
          <w:jc w:val="center"/>
        </w:trPr>
        <w:tc>
          <w:tcPr>
            <w:tcW w:w="1080" w:type="dxa"/>
            <w:vMerge/>
            <w:tcMar>
              <w:left w:w="0" w:type="dxa"/>
              <w:right w:w="0" w:type="dxa"/>
            </w:tcMar>
            <w:vAlign w:val="center"/>
          </w:tcPr>
          <w:p w14:paraId="78249DF0"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79C18B5A" w14:textId="77777777" w:rsidR="00E27F6A" w:rsidRDefault="00851D38">
            <w:pPr>
              <w:jc w:val="center"/>
              <w:rPr>
                <w:rFonts w:ascii="宋体" w:eastAsia="宋体" w:hAnsi="宋体" w:cs="宋体"/>
                <w:sz w:val="24"/>
              </w:rPr>
            </w:pPr>
            <w:r>
              <w:rPr>
                <w:rFonts w:ascii="宋体" w:eastAsia="宋体" w:hAnsi="宋体" w:cs="宋体" w:hint="eastAsia"/>
                <w:sz w:val="24"/>
              </w:rPr>
              <w:t>欧洲贸易大国地理与文化礼仪</w:t>
            </w:r>
          </w:p>
        </w:tc>
        <w:tc>
          <w:tcPr>
            <w:tcW w:w="5221" w:type="dxa"/>
            <w:tcMar>
              <w:left w:w="0" w:type="dxa"/>
              <w:right w:w="0" w:type="dxa"/>
            </w:tcMar>
            <w:vAlign w:val="center"/>
          </w:tcPr>
          <w:p w14:paraId="2B283A25"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掌握英国、德国、法国、意大利、俄罗斯等国家的政治体制、经济发展、产业分布及其文化礼仪；</w:t>
            </w:r>
          </w:p>
          <w:p w14:paraId="512BCDAA"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熟悉欧洲主要贸易强国的主要进出口产品，能归纳中欧之间的贸易商品流向及发展变化；</w:t>
            </w:r>
          </w:p>
          <w:p w14:paraId="61BEE2A6"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能结合实情分析中欧经贸往来中具体特征</w:t>
            </w:r>
          </w:p>
        </w:tc>
        <w:tc>
          <w:tcPr>
            <w:tcW w:w="599" w:type="dxa"/>
            <w:vMerge/>
            <w:tcMar>
              <w:left w:w="0" w:type="dxa"/>
              <w:right w:w="0" w:type="dxa"/>
            </w:tcMar>
            <w:vAlign w:val="center"/>
          </w:tcPr>
          <w:p w14:paraId="19583558" w14:textId="77777777" w:rsidR="00E27F6A" w:rsidRDefault="00E27F6A">
            <w:pPr>
              <w:jc w:val="center"/>
              <w:rPr>
                <w:rFonts w:asciiTheme="majorEastAsia" w:eastAsiaTheme="majorEastAsia" w:hAnsiTheme="majorEastAsia"/>
                <w:sz w:val="24"/>
                <w:szCs w:val="24"/>
                <w:highlight w:val="yellow"/>
              </w:rPr>
            </w:pPr>
          </w:p>
        </w:tc>
      </w:tr>
      <w:tr w:rsidR="00E27F6A" w14:paraId="09033A1B" w14:textId="77777777">
        <w:trPr>
          <w:trHeight w:val="20"/>
          <w:jc w:val="center"/>
        </w:trPr>
        <w:tc>
          <w:tcPr>
            <w:tcW w:w="1080" w:type="dxa"/>
            <w:vMerge w:val="restart"/>
            <w:tcMar>
              <w:left w:w="0" w:type="dxa"/>
              <w:right w:w="0" w:type="dxa"/>
            </w:tcMar>
            <w:vAlign w:val="center"/>
          </w:tcPr>
          <w:p w14:paraId="656EF44C" w14:textId="77777777" w:rsidR="00E27F6A" w:rsidRDefault="00851D38">
            <w:pPr>
              <w:jc w:val="center"/>
              <w:rPr>
                <w:rFonts w:ascii="宋体" w:eastAsia="宋体" w:hAnsi="宋体" w:cs="宋体"/>
                <w:sz w:val="24"/>
              </w:rPr>
            </w:pPr>
            <w:r>
              <w:rPr>
                <w:rFonts w:ascii="宋体" w:eastAsia="宋体" w:hAnsi="宋体" w:cs="宋体" w:hint="eastAsia"/>
                <w:sz w:val="24"/>
              </w:rPr>
              <w:lastRenderedPageBreak/>
              <w:t>亚洲经贸大国</w:t>
            </w:r>
          </w:p>
        </w:tc>
        <w:tc>
          <w:tcPr>
            <w:tcW w:w="1956" w:type="dxa"/>
            <w:tcMar>
              <w:left w:w="0" w:type="dxa"/>
              <w:right w:w="0" w:type="dxa"/>
            </w:tcMar>
            <w:vAlign w:val="center"/>
          </w:tcPr>
          <w:p w14:paraId="7CAF02D3" w14:textId="77777777" w:rsidR="00E27F6A" w:rsidRDefault="00851D38">
            <w:pPr>
              <w:jc w:val="center"/>
              <w:rPr>
                <w:rFonts w:ascii="宋体" w:eastAsia="宋体" w:hAnsi="宋体" w:cs="宋体"/>
                <w:sz w:val="24"/>
              </w:rPr>
            </w:pPr>
            <w:r>
              <w:rPr>
                <w:rFonts w:ascii="宋体" w:eastAsia="宋体" w:hAnsi="宋体" w:cs="宋体" w:hint="eastAsia"/>
                <w:sz w:val="24"/>
              </w:rPr>
              <w:t>亚洲经济贸易概况</w:t>
            </w:r>
          </w:p>
        </w:tc>
        <w:tc>
          <w:tcPr>
            <w:tcW w:w="5221" w:type="dxa"/>
            <w:tcMar>
              <w:left w:w="0" w:type="dxa"/>
              <w:right w:w="0" w:type="dxa"/>
            </w:tcMar>
            <w:vAlign w:val="center"/>
          </w:tcPr>
          <w:p w14:paraId="41AD0BA5" w14:textId="77777777" w:rsidR="00E27F6A" w:rsidRDefault="00851D38" w:rsidP="002C42FD">
            <w:pPr>
              <w:ind w:left="-2"/>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了解二战后亚洲各个区域经济发展历史；</w:t>
            </w:r>
          </w:p>
          <w:p w14:paraId="024C6F44" w14:textId="77777777" w:rsidR="00E27F6A" w:rsidRDefault="00851D38" w:rsidP="002C42FD">
            <w:pPr>
              <w:ind w:left="-2"/>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知晓亚洲地区经济发展的潜力和优势</w:t>
            </w:r>
          </w:p>
        </w:tc>
        <w:tc>
          <w:tcPr>
            <w:tcW w:w="599" w:type="dxa"/>
            <w:vMerge w:val="restart"/>
            <w:tcMar>
              <w:left w:w="0" w:type="dxa"/>
              <w:right w:w="0" w:type="dxa"/>
            </w:tcMar>
            <w:vAlign w:val="center"/>
          </w:tcPr>
          <w:p w14:paraId="781EDCE8" w14:textId="77777777" w:rsidR="00E27F6A" w:rsidRDefault="00851D38">
            <w:pPr>
              <w:jc w:val="center"/>
              <w:rPr>
                <w:rFonts w:asciiTheme="majorEastAsia" w:eastAsiaTheme="majorEastAsia" w:hAnsiTheme="majorEastAsia"/>
                <w:sz w:val="24"/>
                <w:szCs w:val="24"/>
                <w:highlight w:val="yellow"/>
              </w:rPr>
            </w:pPr>
            <w:r>
              <w:rPr>
                <w:rFonts w:asciiTheme="majorEastAsia" w:eastAsiaTheme="majorEastAsia" w:hAnsiTheme="majorEastAsia" w:hint="eastAsia"/>
                <w:sz w:val="24"/>
                <w:szCs w:val="24"/>
              </w:rPr>
              <w:t>1</w:t>
            </w:r>
            <w:r>
              <w:rPr>
                <w:rFonts w:asciiTheme="majorEastAsia" w:eastAsiaTheme="majorEastAsia" w:hAnsiTheme="majorEastAsia"/>
                <w:sz w:val="24"/>
                <w:szCs w:val="24"/>
              </w:rPr>
              <w:t>2</w:t>
            </w:r>
          </w:p>
        </w:tc>
      </w:tr>
      <w:tr w:rsidR="00E27F6A" w14:paraId="280D4401" w14:textId="77777777">
        <w:trPr>
          <w:trHeight w:val="20"/>
          <w:jc w:val="center"/>
        </w:trPr>
        <w:tc>
          <w:tcPr>
            <w:tcW w:w="1080" w:type="dxa"/>
            <w:vMerge/>
            <w:tcMar>
              <w:left w:w="0" w:type="dxa"/>
              <w:right w:w="0" w:type="dxa"/>
            </w:tcMar>
            <w:vAlign w:val="center"/>
          </w:tcPr>
          <w:p w14:paraId="7DBA0A9A"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1F7B2E72" w14:textId="77777777" w:rsidR="00E27F6A" w:rsidRDefault="00851D38">
            <w:pPr>
              <w:jc w:val="center"/>
              <w:rPr>
                <w:rFonts w:ascii="宋体" w:eastAsia="宋体" w:hAnsi="宋体" w:cs="宋体"/>
                <w:sz w:val="24"/>
              </w:rPr>
            </w:pPr>
            <w:r>
              <w:rPr>
                <w:rFonts w:ascii="宋体" w:eastAsia="宋体" w:hAnsi="宋体" w:cs="宋体" w:hint="eastAsia"/>
                <w:sz w:val="24"/>
              </w:rPr>
              <w:t>亚洲贸易大国地理与文化礼仪</w:t>
            </w:r>
          </w:p>
        </w:tc>
        <w:tc>
          <w:tcPr>
            <w:tcW w:w="5221" w:type="dxa"/>
            <w:tcMar>
              <w:left w:w="0" w:type="dxa"/>
              <w:right w:w="0" w:type="dxa"/>
            </w:tcMar>
            <w:vAlign w:val="center"/>
          </w:tcPr>
          <w:p w14:paraId="072967DE"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了解日本、韩国、印度和新加坡等国家的国情、地理环境特点、经济发展与文化礼仪；</w:t>
            </w:r>
          </w:p>
          <w:p w14:paraId="0AF6D7E2"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熟悉日本、韩国、印度和新加坡的主要进出口产品和他们的经贸往来情况；</w:t>
            </w:r>
          </w:p>
          <w:p w14:paraId="0D2DF75C"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能描述日本、韩国、印度和新加坡的主要工业分布及习俗礼仪；</w:t>
            </w:r>
          </w:p>
          <w:p w14:paraId="4ECF5205"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能结合实际归纳中国同亚洲周边贸易强国在经贸往来中的主要特征</w:t>
            </w:r>
          </w:p>
        </w:tc>
        <w:tc>
          <w:tcPr>
            <w:tcW w:w="599" w:type="dxa"/>
            <w:vMerge/>
            <w:tcMar>
              <w:left w:w="0" w:type="dxa"/>
              <w:right w:w="0" w:type="dxa"/>
            </w:tcMar>
            <w:vAlign w:val="center"/>
          </w:tcPr>
          <w:p w14:paraId="6089EA4A" w14:textId="77777777" w:rsidR="00E27F6A" w:rsidRDefault="00E27F6A">
            <w:pPr>
              <w:jc w:val="center"/>
              <w:rPr>
                <w:rFonts w:asciiTheme="majorEastAsia" w:eastAsiaTheme="majorEastAsia" w:hAnsiTheme="majorEastAsia"/>
                <w:sz w:val="24"/>
                <w:szCs w:val="24"/>
                <w:highlight w:val="yellow"/>
              </w:rPr>
            </w:pPr>
          </w:p>
        </w:tc>
      </w:tr>
      <w:tr w:rsidR="00E27F6A" w14:paraId="6C672413" w14:textId="77777777">
        <w:trPr>
          <w:trHeight w:val="20"/>
          <w:jc w:val="center"/>
        </w:trPr>
        <w:tc>
          <w:tcPr>
            <w:tcW w:w="1080" w:type="dxa"/>
            <w:vMerge w:val="restart"/>
            <w:tcMar>
              <w:left w:w="0" w:type="dxa"/>
              <w:right w:w="0" w:type="dxa"/>
            </w:tcMar>
            <w:vAlign w:val="center"/>
          </w:tcPr>
          <w:p w14:paraId="2A427191" w14:textId="77777777" w:rsidR="00E27F6A" w:rsidRDefault="00851D38">
            <w:pPr>
              <w:jc w:val="center"/>
              <w:rPr>
                <w:rFonts w:ascii="宋体" w:eastAsia="宋体" w:hAnsi="宋体" w:cs="宋体"/>
                <w:sz w:val="24"/>
              </w:rPr>
            </w:pPr>
            <w:r>
              <w:rPr>
                <w:rFonts w:ascii="宋体" w:eastAsia="宋体" w:hAnsi="宋体" w:cs="宋体" w:hint="eastAsia"/>
                <w:sz w:val="24"/>
              </w:rPr>
              <w:t>其他与中国贸易密切的经贸国家</w:t>
            </w:r>
          </w:p>
        </w:tc>
        <w:tc>
          <w:tcPr>
            <w:tcW w:w="1956" w:type="dxa"/>
            <w:tcMar>
              <w:left w:w="0" w:type="dxa"/>
              <w:right w:w="0" w:type="dxa"/>
            </w:tcMar>
            <w:vAlign w:val="center"/>
          </w:tcPr>
          <w:p w14:paraId="4F9C2A43" w14:textId="6757C264" w:rsidR="00E27F6A" w:rsidRDefault="00851D38" w:rsidP="00FB01B4">
            <w:pPr>
              <w:ind w:left="240" w:hangingChars="100" w:hanging="240"/>
              <w:jc w:val="center"/>
              <w:rPr>
                <w:rFonts w:ascii="宋体" w:eastAsia="宋体" w:hAnsi="宋体" w:cs="宋体"/>
                <w:sz w:val="24"/>
              </w:rPr>
            </w:pPr>
            <w:r>
              <w:rPr>
                <w:rFonts w:ascii="宋体" w:eastAsia="宋体" w:hAnsi="宋体" w:cs="宋体" w:hint="eastAsia"/>
                <w:sz w:val="24"/>
              </w:rPr>
              <w:t>“一带一路”国际合作</w:t>
            </w:r>
          </w:p>
        </w:tc>
        <w:tc>
          <w:tcPr>
            <w:tcW w:w="5221" w:type="dxa"/>
            <w:tcMar>
              <w:left w:w="0" w:type="dxa"/>
              <w:right w:w="0" w:type="dxa"/>
            </w:tcMar>
            <w:vAlign w:val="center"/>
          </w:tcPr>
          <w:p w14:paraId="1365FAE0" w14:textId="0028F15F" w:rsidR="00E27F6A" w:rsidRDefault="00FB01B4"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sidR="00851D38">
              <w:rPr>
                <w:rFonts w:ascii="宋体" w:eastAsia="宋体" w:hAnsi="宋体" w:cs="宋体" w:hint="eastAsia"/>
                <w:sz w:val="24"/>
              </w:rPr>
              <w:t>熟悉国家关于建设“丝绸之路经济带”和“</w:t>
            </w:r>
            <w:r w:rsidR="00851D38">
              <w:rPr>
                <w:rFonts w:ascii="宋体" w:eastAsia="宋体" w:hAnsi="宋体" w:cs="宋体" w:hint="eastAsia"/>
                <w:sz w:val="24"/>
              </w:rPr>
              <w:t>21</w:t>
            </w:r>
            <w:r w:rsidR="00851D38">
              <w:rPr>
                <w:rFonts w:ascii="宋体" w:eastAsia="宋体" w:hAnsi="宋体" w:cs="宋体" w:hint="eastAsia"/>
                <w:sz w:val="24"/>
              </w:rPr>
              <w:t>世纪海上丝绸之路”的合作倡议，掌握“一带一路”的共建原则、框架思路和基本内涵；</w:t>
            </w:r>
          </w:p>
          <w:p w14:paraId="345DC29F" w14:textId="1ECA8001" w:rsidR="00E27F6A" w:rsidRDefault="00FB01B4"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sidR="00851D38">
              <w:rPr>
                <w:rFonts w:ascii="宋体" w:eastAsia="宋体" w:hAnsi="宋体" w:cs="宋体" w:hint="eastAsia"/>
                <w:sz w:val="24"/>
              </w:rPr>
              <w:t>知晓“一带一路”沿线国家，准确把握我国重要的贸易政策及措施</w:t>
            </w:r>
          </w:p>
        </w:tc>
        <w:tc>
          <w:tcPr>
            <w:tcW w:w="599" w:type="dxa"/>
            <w:vMerge w:val="restart"/>
            <w:tcMar>
              <w:left w:w="0" w:type="dxa"/>
              <w:right w:w="0" w:type="dxa"/>
            </w:tcMar>
            <w:vAlign w:val="center"/>
          </w:tcPr>
          <w:p w14:paraId="505FBEC6" w14:textId="77777777" w:rsidR="00E27F6A" w:rsidRDefault="00851D38">
            <w:pPr>
              <w:jc w:val="center"/>
              <w:rPr>
                <w:rFonts w:asciiTheme="majorEastAsia" w:eastAsiaTheme="majorEastAsia" w:hAnsiTheme="majorEastAsia"/>
                <w:sz w:val="24"/>
                <w:szCs w:val="24"/>
                <w:highlight w:val="yellow"/>
              </w:rPr>
            </w:pPr>
            <w:r>
              <w:rPr>
                <w:rFonts w:asciiTheme="majorEastAsia" w:eastAsiaTheme="majorEastAsia" w:hAnsiTheme="majorEastAsia"/>
                <w:sz w:val="24"/>
                <w:szCs w:val="24"/>
              </w:rPr>
              <w:t>16</w:t>
            </w:r>
          </w:p>
        </w:tc>
      </w:tr>
      <w:tr w:rsidR="00E27F6A" w14:paraId="4BC27BC6" w14:textId="77777777">
        <w:trPr>
          <w:trHeight w:val="20"/>
          <w:jc w:val="center"/>
        </w:trPr>
        <w:tc>
          <w:tcPr>
            <w:tcW w:w="1080" w:type="dxa"/>
            <w:vMerge/>
            <w:tcMar>
              <w:left w:w="0" w:type="dxa"/>
              <w:right w:w="0" w:type="dxa"/>
            </w:tcMar>
            <w:vAlign w:val="center"/>
          </w:tcPr>
          <w:p w14:paraId="0DAF8C8B"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051A45A6" w14:textId="77777777" w:rsidR="00E27F6A" w:rsidRDefault="00851D38">
            <w:pPr>
              <w:jc w:val="center"/>
              <w:rPr>
                <w:rFonts w:ascii="宋体" w:eastAsia="宋体" w:hAnsi="宋体" w:cs="宋体"/>
                <w:sz w:val="24"/>
              </w:rPr>
            </w:pPr>
            <w:r>
              <w:rPr>
                <w:rFonts w:ascii="宋体" w:eastAsia="宋体" w:hAnsi="宋体" w:cs="宋体" w:hint="eastAsia"/>
                <w:sz w:val="24"/>
              </w:rPr>
              <w:t>区域全面经济伙伴关系协议（</w:t>
            </w:r>
            <w:r>
              <w:rPr>
                <w:rFonts w:ascii="宋体" w:eastAsia="宋体" w:hAnsi="宋体" w:cs="宋体" w:hint="eastAsia"/>
                <w:sz w:val="24"/>
              </w:rPr>
              <w:t>RCEP)</w:t>
            </w:r>
          </w:p>
        </w:tc>
        <w:tc>
          <w:tcPr>
            <w:tcW w:w="5221" w:type="dxa"/>
            <w:tcMar>
              <w:left w:w="0" w:type="dxa"/>
              <w:right w:w="0" w:type="dxa"/>
            </w:tcMar>
            <w:vAlign w:val="center"/>
          </w:tcPr>
          <w:p w14:paraId="398C841D" w14:textId="77777777" w:rsidR="00E27F6A" w:rsidRDefault="00851D38" w:rsidP="002C42FD">
            <w:pPr>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w:t>
            </w:r>
            <w:r>
              <w:rPr>
                <w:rFonts w:ascii="宋体" w:eastAsia="宋体" w:hAnsi="宋体" w:cs="宋体" w:hint="eastAsia"/>
                <w:sz w:val="24"/>
              </w:rPr>
              <w:t>RCEP</w:t>
            </w:r>
            <w:r>
              <w:rPr>
                <w:rFonts w:ascii="宋体" w:eastAsia="宋体" w:hAnsi="宋体" w:cs="宋体" w:hint="eastAsia"/>
                <w:sz w:val="24"/>
              </w:rPr>
              <w:t>的协定历史、成员国家及协定意义；</w:t>
            </w:r>
          </w:p>
          <w:p w14:paraId="0A97C2EB"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掌握</w:t>
            </w:r>
            <w:r>
              <w:rPr>
                <w:rFonts w:ascii="宋体" w:eastAsia="宋体" w:hAnsi="宋体" w:cs="宋体" w:hint="eastAsia"/>
                <w:sz w:val="24"/>
              </w:rPr>
              <w:t>RCEP</w:t>
            </w:r>
            <w:r>
              <w:rPr>
                <w:rFonts w:ascii="宋体" w:eastAsia="宋体" w:hAnsi="宋体" w:cs="宋体" w:hint="eastAsia"/>
                <w:sz w:val="24"/>
              </w:rPr>
              <w:t>的主要协定框架内容；</w:t>
            </w:r>
          </w:p>
          <w:p w14:paraId="6AC27892"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能结合实际归纳中国在</w:t>
            </w:r>
            <w:r>
              <w:rPr>
                <w:rFonts w:ascii="宋体" w:eastAsia="宋体" w:hAnsi="宋体" w:cs="宋体" w:hint="eastAsia"/>
                <w:sz w:val="24"/>
              </w:rPr>
              <w:t>RCEP</w:t>
            </w:r>
            <w:r>
              <w:rPr>
                <w:rFonts w:ascii="宋体" w:eastAsia="宋体" w:hAnsi="宋体" w:cs="宋体" w:hint="eastAsia"/>
                <w:sz w:val="24"/>
              </w:rPr>
              <w:t>协议推动下产生的贸易效益</w:t>
            </w:r>
          </w:p>
        </w:tc>
        <w:tc>
          <w:tcPr>
            <w:tcW w:w="599" w:type="dxa"/>
            <w:vMerge/>
            <w:tcMar>
              <w:left w:w="0" w:type="dxa"/>
              <w:right w:w="0" w:type="dxa"/>
            </w:tcMar>
            <w:vAlign w:val="center"/>
          </w:tcPr>
          <w:p w14:paraId="309B652E" w14:textId="77777777" w:rsidR="00E27F6A" w:rsidRDefault="00E27F6A">
            <w:pPr>
              <w:jc w:val="center"/>
              <w:rPr>
                <w:rFonts w:asciiTheme="majorEastAsia" w:eastAsiaTheme="majorEastAsia" w:hAnsiTheme="majorEastAsia"/>
                <w:sz w:val="24"/>
                <w:szCs w:val="24"/>
                <w:highlight w:val="yellow"/>
              </w:rPr>
            </w:pPr>
          </w:p>
        </w:tc>
      </w:tr>
      <w:tr w:rsidR="00E27F6A" w14:paraId="35C36B4B" w14:textId="77777777">
        <w:trPr>
          <w:trHeight w:val="20"/>
          <w:jc w:val="center"/>
        </w:trPr>
        <w:tc>
          <w:tcPr>
            <w:tcW w:w="1080" w:type="dxa"/>
            <w:vMerge/>
            <w:tcMar>
              <w:left w:w="0" w:type="dxa"/>
              <w:right w:w="0" w:type="dxa"/>
            </w:tcMar>
            <w:vAlign w:val="center"/>
          </w:tcPr>
          <w:p w14:paraId="33969ED8"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7F362140" w14:textId="77777777" w:rsidR="00E27F6A" w:rsidRDefault="00851D38">
            <w:pPr>
              <w:ind w:left="240" w:hangingChars="100" w:hanging="240"/>
              <w:rPr>
                <w:rFonts w:ascii="宋体" w:eastAsia="宋体" w:hAnsi="宋体" w:cs="宋体"/>
                <w:sz w:val="24"/>
              </w:rPr>
            </w:pPr>
            <w:r>
              <w:rPr>
                <w:rFonts w:ascii="宋体" w:eastAsia="宋体" w:hAnsi="宋体" w:cs="宋体" w:hint="eastAsia"/>
                <w:sz w:val="24"/>
              </w:rPr>
              <w:t>东南亚经济联盟</w:t>
            </w:r>
          </w:p>
        </w:tc>
        <w:tc>
          <w:tcPr>
            <w:tcW w:w="5221" w:type="dxa"/>
            <w:tcMar>
              <w:left w:w="0" w:type="dxa"/>
              <w:right w:w="0" w:type="dxa"/>
            </w:tcMar>
            <w:vAlign w:val="center"/>
          </w:tcPr>
          <w:p w14:paraId="38356164"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了解东盟的成员国家及区域范围，理解东盟国家在经济发展过程中的利弊端；</w:t>
            </w:r>
          </w:p>
          <w:p w14:paraId="458FDE9B"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能理清中国</w:t>
            </w:r>
            <w:r>
              <w:rPr>
                <w:rFonts w:ascii="宋体" w:eastAsia="宋体" w:hAnsi="宋体" w:cs="宋体" w:hint="eastAsia"/>
                <w:sz w:val="24"/>
              </w:rPr>
              <w:t>-</w:t>
            </w:r>
            <w:r>
              <w:rPr>
                <w:rFonts w:ascii="宋体" w:eastAsia="宋体" w:hAnsi="宋体" w:cs="宋体" w:hint="eastAsia"/>
                <w:sz w:val="24"/>
              </w:rPr>
              <w:t>东盟国家之间的经济合作关系，正确认识我国与东盟国家之间贸易增长的规律</w:t>
            </w:r>
          </w:p>
        </w:tc>
        <w:tc>
          <w:tcPr>
            <w:tcW w:w="599" w:type="dxa"/>
            <w:vMerge/>
            <w:tcMar>
              <w:left w:w="0" w:type="dxa"/>
              <w:right w:w="0" w:type="dxa"/>
            </w:tcMar>
            <w:vAlign w:val="center"/>
          </w:tcPr>
          <w:p w14:paraId="323FB5C4" w14:textId="77777777" w:rsidR="00E27F6A" w:rsidRDefault="00E27F6A">
            <w:pPr>
              <w:jc w:val="center"/>
              <w:rPr>
                <w:rFonts w:asciiTheme="majorEastAsia" w:eastAsiaTheme="majorEastAsia" w:hAnsiTheme="majorEastAsia"/>
                <w:sz w:val="24"/>
                <w:szCs w:val="24"/>
                <w:highlight w:val="yellow"/>
              </w:rPr>
            </w:pPr>
          </w:p>
        </w:tc>
      </w:tr>
      <w:tr w:rsidR="00E27F6A" w14:paraId="016FB294" w14:textId="77777777">
        <w:trPr>
          <w:trHeight w:val="20"/>
          <w:jc w:val="center"/>
        </w:trPr>
        <w:tc>
          <w:tcPr>
            <w:tcW w:w="1080" w:type="dxa"/>
            <w:vMerge/>
            <w:tcMar>
              <w:left w:w="0" w:type="dxa"/>
              <w:right w:w="0" w:type="dxa"/>
            </w:tcMar>
            <w:vAlign w:val="center"/>
          </w:tcPr>
          <w:p w14:paraId="54ADBD44"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228791E0" w14:textId="77777777" w:rsidR="00E27F6A" w:rsidRDefault="00851D38">
            <w:pPr>
              <w:jc w:val="center"/>
              <w:rPr>
                <w:rFonts w:ascii="宋体" w:eastAsia="宋体" w:hAnsi="宋体" w:cs="宋体"/>
                <w:sz w:val="24"/>
              </w:rPr>
            </w:pPr>
            <w:r>
              <w:rPr>
                <w:rFonts w:ascii="宋体" w:eastAsia="宋体" w:hAnsi="宋体" w:cs="宋体" w:hint="eastAsia"/>
                <w:sz w:val="24"/>
              </w:rPr>
              <w:t>“金砖国家”</w:t>
            </w:r>
          </w:p>
        </w:tc>
        <w:tc>
          <w:tcPr>
            <w:tcW w:w="5221" w:type="dxa"/>
            <w:tcMar>
              <w:left w:w="0" w:type="dxa"/>
              <w:right w:w="0" w:type="dxa"/>
            </w:tcMar>
            <w:vAlign w:val="center"/>
          </w:tcPr>
          <w:p w14:paraId="3B81EFF2"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知晓“金砖国家”的概念，熟悉“金砖国家”的发展历程、成立宗旨及主要成员国家；</w:t>
            </w:r>
          </w:p>
          <w:p w14:paraId="604BDB95"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能归纳中国与金砖国家之间的经贸合作优势</w:t>
            </w:r>
          </w:p>
        </w:tc>
        <w:tc>
          <w:tcPr>
            <w:tcW w:w="599" w:type="dxa"/>
            <w:vMerge/>
            <w:tcMar>
              <w:left w:w="0" w:type="dxa"/>
              <w:right w:w="0" w:type="dxa"/>
            </w:tcMar>
            <w:vAlign w:val="center"/>
          </w:tcPr>
          <w:p w14:paraId="4AC801DB" w14:textId="77777777" w:rsidR="00E27F6A" w:rsidRDefault="00E27F6A">
            <w:pPr>
              <w:jc w:val="center"/>
              <w:rPr>
                <w:rFonts w:asciiTheme="majorEastAsia" w:eastAsiaTheme="majorEastAsia" w:hAnsiTheme="majorEastAsia"/>
                <w:sz w:val="24"/>
                <w:szCs w:val="24"/>
                <w:highlight w:val="yellow"/>
              </w:rPr>
            </w:pPr>
          </w:p>
        </w:tc>
      </w:tr>
      <w:tr w:rsidR="00E27F6A" w14:paraId="67C6E2CA" w14:textId="77777777">
        <w:trPr>
          <w:trHeight w:val="20"/>
          <w:jc w:val="center"/>
        </w:trPr>
        <w:tc>
          <w:tcPr>
            <w:tcW w:w="1080" w:type="dxa"/>
            <w:vMerge/>
            <w:tcMar>
              <w:left w:w="0" w:type="dxa"/>
              <w:right w:w="0" w:type="dxa"/>
            </w:tcMar>
            <w:vAlign w:val="center"/>
          </w:tcPr>
          <w:p w14:paraId="7243D23E" w14:textId="77777777" w:rsidR="00E27F6A" w:rsidRDefault="00E27F6A">
            <w:pPr>
              <w:jc w:val="center"/>
              <w:rPr>
                <w:rFonts w:ascii="宋体" w:eastAsia="宋体" w:hAnsi="宋体" w:cs="宋体"/>
                <w:sz w:val="24"/>
              </w:rPr>
            </w:pPr>
          </w:p>
        </w:tc>
        <w:tc>
          <w:tcPr>
            <w:tcW w:w="1956" w:type="dxa"/>
            <w:tcMar>
              <w:left w:w="0" w:type="dxa"/>
              <w:right w:w="0" w:type="dxa"/>
            </w:tcMar>
            <w:vAlign w:val="center"/>
          </w:tcPr>
          <w:p w14:paraId="72C52F89" w14:textId="77777777" w:rsidR="00E27F6A" w:rsidRDefault="00851D38">
            <w:pPr>
              <w:jc w:val="center"/>
              <w:rPr>
                <w:rFonts w:ascii="宋体" w:eastAsia="宋体" w:hAnsi="宋体" w:cs="宋体"/>
                <w:sz w:val="24"/>
              </w:rPr>
            </w:pPr>
            <w:r>
              <w:rPr>
                <w:rFonts w:ascii="宋体" w:eastAsia="宋体" w:hAnsi="宋体" w:cs="宋体" w:hint="eastAsia"/>
                <w:sz w:val="24"/>
              </w:rPr>
              <w:t>其他贸易大国</w:t>
            </w:r>
          </w:p>
        </w:tc>
        <w:tc>
          <w:tcPr>
            <w:tcW w:w="5221" w:type="dxa"/>
            <w:tcMar>
              <w:left w:w="0" w:type="dxa"/>
              <w:right w:w="0" w:type="dxa"/>
            </w:tcMar>
            <w:vAlign w:val="center"/>
          </w:tcPr>
          <w:p w14:paraId="057D460E"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Pr>
                <w:rFonts w:ascii="宋体" w:eastAsia="宋体" w:hAnsi="宋体" w:cs="宋体" w:hint="eastAsia"/>
                <w:sz w:val="24"/>
              </w:rPr>
              <w:t>了解澳大利亚、巴西、南非等国家的国情、地理环境、资源特点、经济发展与文化礼仪；</w:t>
            </w:r>
          </w:p>
          <w:p w14:paraId="083AFC85"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熟悉我国与这些国家的贸易伙伴关系，关注两国之间的经济贸易政策，能正确归纳我国在与这些国家对外贸易中主要的商品流向及规律；</w:t>
            </w:r>
          </w:p>
          <w:p w14:paraId="429BB689" w14:textId="77777777" w:rsidR="00E27F6A" w:rsidRDefault="00851D38" w:rsidP="002C42FD">
            <w:pPr>
              <w:ind w:left="240" w:hangingChars="100" w:hanging="24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能读懂中国对外贸易年度报告，并归纳中国与主要贸易国家及贸易区域之间在贸易地位及贸易商品流向上的变化</w:t>
            </w:r>
          </w:p>
        </w:tc>
        <w:tc>
          <w:tcPr>
            <w:tcW w:w="599" w:type="dxa"/>
            <w:vMerge/>
            <w:tcMar>
              <w:left w:w="0" w:type="dxa"/>
              <w:right w:w="0" w:type="dxa"/>
            </w:tcMar>
            <w:vAlign w:val="center"/>
          </w:tcPr>
          <w:p w14:paraId="6EF0AAF5" w14:textId="77777777" w:rsidR="00E27F6A" w:rsidRDefault="00E27F6A">
            <w:pPr>
              <w:jc w:val="center"/>
              <w:rPr>
                <w:rFonts w:asciiTheme="majorEastAsia" w:eastAsiaTheme="majorEastAsia" w:hAnsiTheme="majorEastAsia"/>
                <w:sz w:val="24"/>
                <w:szCs w:val="24"/>
                <w:highlight w:val="yellow"/>
              </w:rPr>
            </w:pPr>
          </w:p>
        </w:tc>
      </w:tr>
    </w:tbl>
    <w:p w14:paraId="0BD00BD7" w14:textId="77777777" w:rsidR="00E27F6A" w:rsidRDefault="00851D38">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六、实施建议</w:t>
      </w:r>
    </w:p>
    <w:p w14:paraId="536FD8EC" w14:textId="77777777" w:rsidR="00E27F6A" w:rsidRDefault="00851D38">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一</w:t>
      </w:r>
      <w:r>
        <w:rPr>
          <w:rFonts w:ascii="宋体" w:eastAsia="宋体" w:hAnsi="宋体" w:cs="宋体"/>
          <w:b/>
          <w:sz w:val="24"/>
        </w:rPr>
        <w:t>）</w:t>
      </w:r>
      <w:r>
        <w:rPr>
          <w:rFonts w:ascii="宋体" w:eastAsia="宋体" w:hAnsi="宋体" w:cs="宋体" w:hint="eastAsia"/>
          <w:b/>
          <w:sz w:val="24"/>
        </w:rPr>
        <w:t>教学建议</w:t>
      </w:r>
    </w:p>
    <w:p w14:paraId="0665EFD3" w14:textId="77777777" w:rsidR="00E27F6A" w:rsidRDefault="00851D38">
      <w:pPr>
        <w:ind w:firstLineChars="200" w:firstLine="480"/>
        <w:rPr>
          <w:rFonts w:ascii="Calibri" w:eastAsia="宋体" w:hAnsi="Calibri" w:cs="Times New Roman"/>
          <w:szCs w:val="21"/>
        </w:rPr>
      </w:pPr>
      <w:r>
        <w:rPr>
          <w:rFonts w:ascii="宋体" w:eastAsia="宋体" w:hAnsi="宋体" w:cs="宋体" w:hint="eastAsia"/>
          <w:sz w:val="24"/>
        </w:rPr>
        <w:lastRenderedPageBreak/>
        <w:t>1.</w:t>
      </w:r>
      <w:r>
        <w:rPr>
          <w:rFonts w:ascii="宋体" w:hAnsi="宋体" w:hint="eastAsia"/>
          <w:sz w:val="24"/>
          <w:szCs w:val="24"/>
        </w:rPr>
        <w:t>充分挖掘本课程思政元素</w:t>
      </w:r>
      <w:r>
        <w:rPr>
          <w:rFonts w:ascii="宋体" w:eastAsia="宋体" w:hAnsi="宋体" w:cs="宋体" w:hint="eastAsia"/>
          <w:sz w:val="24"/>
        </w:rPr>
        <w:t>，将课程思政“精准滴灌”课程教学全过程。</w:t>
      </w:r>
      <w:r>
        <w:rPr>
          <w:rFonts w:ascii="宋体" w:eastAsia="宋体" w:hAnsi="宋体" w:cs="宋体"/>
          <w:sz w:val="24"/>
        </w:rPr>
        <w:t>通过融入</w:t>
      </w:r>
      <w:r>
        <w:rPr>
          <w:rFonts w:ascii="宋体" w:eastAsia="宋体" w:hAnsi="宋体" w:cs="宋体"/>
          <w:sz w:val="24"/>
        </w:rPr>
        <w:t>“</w:t>
      </w:r>
      <w:r>
        <w:rPr>
          <w:rFonts w:ascii="宋体" w:eastAsia="宋体" w:hAnsi="宋体" w:cs="宋体"/>
          <w:sz w:val="24"/>
        </w:rPr>
        <w:t>一带一路</w:t>
      </w:r>
      <w:r>
        <w:rPr>
          <w:rFonts w:ascii="宋体" w:eastAsia="宋体" w:hAnsi="宋体" w:cs="宋体"/>
          <w:sz w:val="24"/>
        </w:rPr>
        <w:t>”</w:t>
      </w:r>
      <w:r>
        <w:rPr>
          <w:rFonts w:ascii="宋体" w:eastAsia="宋体" w:hAnsi="宋体" w:cs="宋体"/>
          <w:sz w:val="24"/>
        </w:rPr>
        <w:t>国际合作精神</w:t>
      </w:r>
      <w:r>
        <w:rPr>
          <w:rFonts w:ascii="宋体" w:eastAsia="宋体" w:hAnsi="宋体" w:cs="宋体" w:hint="eastAsia"/>
          <w:sz w:val="24"/>
        </w:rPr>
        <w:t>、</w:t>
      </w:r>
      <w:r>
        <w:rPr>
          <w:rFonts w:ascii="宋体" w:eastAsia="宋体" w:hAnsi="宋体" w:cs="宋体" w:hint="eastAsia"/>
          <w:sz w:val="24"/>
        </w:rPr>
        <w:t>RCEP</w:t>
      </w:r>
      <w:r>
        <w:rPr>
          <w:rFonts w:ascii="宋体" w:eastAsia="宋体" w:hAnsi="宋体" w:cs="宋体" w:hint="eastAsia"/>
          <w:sz w:val="24"/>
        </w:rPr>
        <w:t>多元合作精神、诚实守信的商业道德以及精益求精的工匠精神</w:t>
      </w:r>
      <w:r>
        <w:rPr>
          <w:rFonts w:ascii="宋体" w:eastAsia="宋体" w:hAnsi="宋体" w:cs="宋体"/>
          <w:sz w:val="24"/>
        </w:rPr>
        <w:t>，拓宽国际视野，</w:t>
      </w:r>
      <w:r>
        <w:rPr>
          <w:rFonts w:ascii="宋体" w:eastAsia="宋体" w:hAnsi="宋体" w:cs="宋体" w:hint="eastAsia"/>
          <w:sz w:val="24"/>
        </w:rPr>
        <w:t>提振文化自信，增强学生对外贸职业的职业认同感、荣誉感、使命感。</w:t>
      </w:r>
    </w:p>
    <w:p w14:paraId="61BEF4E5"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坚持以学生为主体，以学生的认知发展水平和已有的经验为基础，注重启发学生思考世界经贸地理的新格局、数字技术对外贸新业态、新模式、新规范的创新推动、互联网时代新的国际商务文化礼仪，激发学生学习兴趣，让学生学会梳理、总结、归纳知识点。</w:t>
      </w:r>
    </w:p>
    <w:p w14:paraId="53FD342D"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3.</w:t>
      </w:r>
      <w:r>
        <w:rPr>
          <w:rFonts w:ascii="宋体" w:eastAsia="宋体" w:hAnsi="宋体" w:cs="宋体" w:hint="eastAsia"/>
          <w:sz w:val="24"/>
        </w:rPr>
        <w:t>教学实施中，注重教与学的互动，注重授</w:t>
      </w:r>
      <w:r>
        <w:rPr>
          <w:rFonts w:ascii="宋体" w:eastAsia="宋体" w:hAnsi="宋体" w:cs="宋体" w:hint="eastAsia"/>
          <w:sz w:val="24"/>
        </w:rPr>
        <w:t>课内容与工作任务的紧密结合。充分利用校内实训室，结合校外实训基地、实习单位和实施产教结合的场所，能完成课程设置所规定的所有实训项目。通过项目引领、主题讨论、小组活动等，注重引入真实的贸易伙伴实际案例，以任务为学习载体，以任务的实施过程为主线，结合现代化信息技术手段，将知识点的讲解贯穿于任务的实施过程中，随着任务的进展来推动知识点的扩展。教师在此基础上讲解教学重难点，为学生答疑解惑，打破学生学习瓶颈。在突出主要贸易国家经贸地理与文化礼仪</w:t>
      </w:r>
      <w:r>
        <w:rPr>
          <w:rFonts w:ascii="宋体" w:eastAsia="宋体" w:hAnsi="宋体" w:cs="宋体"/>
          <w:sz w:val="24"/>
        </w:rPr>
        <w:t>等内容</w:t>
      </w:r>
      <w:r>
        <w:rPr>
          <w:rFonts w:ascii="宋体" w:eastAsia="宋体" w:hAnsi="宋体" w:cs="宋体" w:hint="eastAsia"/>
          <w:sz w:val="24"/>
        </w:rPr>
        <w:t>的同时</w:t>
      </w:r>
      <w:r>
        <w:rPr>
          <w:rFonts w:ascii="宋体" w:eastAsia="宋体" w:hAnsi="宋体" w:cs="宋体"/>
          <w:sz w:val="24"/>
        </w:rPr>
        <w:t>，注重本门专业类平台课程与后续多门专业核心课程、专业</w:t>
      </w:r>
      <w:r>
        <w:rPr>
          <w:rFonts w:ascii="宋体" w:eastAsia="宋体" w:hAnsi="宋体" w:cs="宋体" w:hint="eastAsia"/>
          <w:sz w:val="24"/>
        </w:rPr>
        <w:t>拓展</w:t>
      </w:r>
      <w:r>
        <w:rPr>
          <w:rFonts w:ascii="宋体" w:eastAsia="宋体" w:hAnsi="宋体" w:cs="宋体"/>
          <w:sz w:val="24"/>
        </w:rPr>
        <w:t>课程之间的关联性，让学生</w:t>
      </w:r>
      <w:r>
        <w:rPr>
          <w:rFonts w:ascii="宋体" w:eastAsia="宋体" w:hAnsi="宋体" w:cs="宋体" w:hint="eastAsia"/>
          <w:sz w:val="24"/>
        </w:rPr>
        <w:t>适应对外贸易行业优化升级、数字化转型和机制创新中所需</w:t>
      </w:r>
      <w:r>
        <w:rPr>
          <w:rFonts w:ascii="宋体" w:eastAsia="宋体" w:hAnsi="宋体" w:cs="宋体"/>
          <w:sz w:val="24"/>
        </w:rPr>
        <w:t>的基本能力</w:t>
      </w:r>
      <w:r>
        <w:rPr>
          <w:rFonts w:ascii="宋体" w:eastAsia="宋体" w:hAnsi="宋体" w:cs="宋体" w:hint="eastAsia"/>
          <w:sz w:val="24"/>
        </w:rPr>
        <w:t>，促进学生的创新创业思维和自主创新能力的有效提升。</w:t>
      </w:r>
    </w:p>
    <w:p w14:paraId="7551BFA9"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4.</w:t>
      </w:r>
      <w:r>
        <w:rPr>
          <w:rFonts w:ascii="宋体" w:eastAsia="宋体" w:hAnsi="宋体" w:cs="宋体" w:hint="eastAsia"/>
          <w:sz w:val="24"/>
        </w:rPr>
        <w:t>由于本课程对国际经贸地理和国际商务文化礼仪相关教学内容进行了有机融合，因此鼓励学校教研团队集体备课。教师在实际教学中应多了解学科发展的前沿趋势，充分利用校内外实训基地，认真落实“一师一企”，多走进外贸企业一线，学校可以推行“双师协同”教学，以提高本课程的授课效果。</w:t>
      </w:r>
    </w:p>
    <w:p w14:paraId="0358005B"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5.</w:t>
      </w:r>
      <w:r>
        <w:rPr>
          <w:rFonts w:ascii="宋体" w:eastAsia="宋体" w:hAnsi="宋体" w:cs="宋体" w:hint="eastAsia"/>
          <w:sz w:val="24"/>
        </w:rPr>
        <w:t>教学中，注重学生团队合作意识、互联网意识、跨文化交际意识、创新创业意识的培养和数字化素养的提升，具有</w:t>
      </w:r>
      <w:r>
        <w:rPr>
          <w:rFonts w:ascii="宋体" w:eastAsia="宋体" w:hAnsi="宋体" w:cs="宋体" w:hint="eastAsia"/>
          <w:sz w:val="24"/>
        </w:rPr>
        <w:t>良好的职业道德、职业操守和严谨务实的职业精神。</w:t>
      </w:r>
    </w:p>
    <w:p w14:paraId="2D165267" w14:textId="77777777" w:rsidR="00E27F6A" w:rsidRDefault="00851D38">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二</w:t>
      </w:r>
      <w:r>
        <w:rPr>
          <w:rFonts w:ascii="宋体" w:eastAsia="宋体" w:hAnsi="宋体" w:cs="宋体"/>
          <w:b/>
          <w:sz w:val="24"/>
        </w:rPr>
        <w:t>）</w:t>
      </w:r>
      <w:r>
        <w:rPr>
          <w:rFonts w:ascii="宋体" w:eastAsia="宋体" w:hAnsi="宋体" w:cs="宋体" w:hint="eastAsia"/>
          <w:b/>
          <w:sz w:val="24"/>
        </w:rPr>
        <w:t>评价建议</w:t>
      </w:r>
    </w:p>
    <w:p w14:paraId="29FA3656"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既要关注学生专业知识，更要注重学生职业技能，将学生的学习态度、情意表现与合作精神等方面纳入评价的范围。</w:t>
      </w:r>
    </w:p>
    <w:p w14:paraId="2E98990D"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坚持多元化评价原则，做到形成性评价与总结性评价、定性评价与定量评价、结果评价和过程评价相结合。</w:t>
      </w:r>
    </w:p>
    <w:p w14:paraId="0AC20F00"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将评价结果及时、客观向学生反馈，指出被评价者需要改进的方面，师生共同商讨改进的途径和方法；充分肯定学生的创新思维，有效引导，调动学生的学习积极性。</w:t>
      </w:r>
    </w:p>
    <w:p w14:paraId="18BBF494" w14:textId="77777777" w:rsidR="00E27F6A" w:rsidRDefault="00851D38">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三</w:t>
      </w:r>
      <w:r>
        <w:rPr>
          <w:rFonts w:ascii="宋体" w:eastAsia="宋体" w:hAnsi="宋体" w:cs="宋体"/>
          <w:b/>
          <w:sz w:val="24"/>
        </w:rPr>
        <w:t>）</w:t>
      </w:r>
      <w:r>
        <w:rPr>
          <w:rFonts w:ascii="宋体" w:eastAsia="宋体" w:hAnsi="宋体" w:cs="宋体" w:hint="eastAsia"/>
          <w:b/>
          <w:sz w:val="24"/>
        </w:rPr>
        <w:t>教材编写和选用建议</w:t>
      </w:r>
    </w:p>
    <w:p w14:paraId="7DA339C3"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教材的编写和选用必须依据本标准。</w:t>
      </w:r>
    </w:p>
    <w:p w14:paraId="094E083A"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教材编写坚持立德树人</w:t>
      </w:r>
      <w:r>
        <w:rPr>
          <w:rFonts w:ascii="宋体" w:eastAsia="宋体" w:hAnsi="宋体" w:cs="宋体"/>
          <w:sz w:val="24"/>
        </w:rPr>
        <w:t>，</w:t>
      </w:r>
      <w:r>
        <w:rPr>
          <w:rFonts w:ascii="宋体" w:eastAsia="宋体" w:hAnsi="宋体" w:cs="宋体" w:hint="eastAsia"/>
          <w:sz w:val="24"/>
        </w:rPr>
        <w:t>着力培养学生职业素质、创新精神和国际贸易类岗位实践能力。</w:t>
      </w:r>
    </w:p>
    <w:p w14:paraId="5D51A236"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教材内容应引入行业、企业和课程领域中的新理念、新技术和新方法。</w:t>
      </w:r>
    </w:p>
    <w:p w14:paraId="6A18C0D8"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教材的呈现要图文并茂，文字通俗易懂，图片新颖趣味，版式灵活。</w:t>
      </w:r>
    </w:p>
    <w:p w14:paraId="52303DDE" w14:textId="77777777" w:rsidR="00E27F6A" w:rsidRDefault="00851D38">
      <w:pPr>
        <w:widowControl w:val="0"/>
        <w:topLinePunct/>
        <w:ind w:firstLineChars="200" w:firstLine="482"/>
        <w:jc w:val="both"/>
        <w:rPr>
          <w:rFonts w:ascii="宋体" w:eastAsia="宋体" w:hAnsi="宋体" w:cs="宋体"/>
          <w:b/>
          <w:sz w:val="24"/>
        </w:rPr>
      </w:pPr>
      <w:r>
        <w:rPr>
          <w:rFonts w:ascii="宋体" w:eastAsia="宋体" w:hAnsi="宋体" w:cs="宋体"/>
          <w:b/>
          <w:sz w:val="24"/>
        </w:rPr>
        <w:t>（</w:t>
      </w:r>
      <w:r>
        <w:rPr>
          <w:rFonts w:ascii="宋体" w:eastAsia="宋体" w:hAnsi="宋体" w:cs="宋体" w:hint="eastAsia"/>
          <w:b/>
          <w:sz w:val="24"/>
        </w:rPr>
        <w:t>四</w:t>
      </w:r>
      <w:r>
        <w:rPr>
          <w:rFonts w:ascii="宋体" w:eastAsia="宋体" w:hAnsi="宋体" w:cs="宋体"/>
          <w:b/>
          <w:sz w:val="24"/>
        </w:rPr>
        <w:t>）</w:t>
      </w:r>
      <w:r>
        <w:rPr>
          <w:rFonts w:ascii="宋体" w:eastAsia="宋体" w:hAnsi="宋体" w:cs="宋体" w:hint="eastAsia"/>
          <w:b/>
          <w:sz w:val="24"/>
        </w:rPr>
        <w:t>课程资源开发与利用建议</w:t>
      </w:r>
    </w:p>
    <w:p w14:paraId="4F29301B"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1.</w:t>
      </w:r>
      <w:r>
        <w:rPr>
          <w:rFonts w:ascii="宋体" w:eastAsia="宋体" w:hAnsi="宋体" w:cs="宋体" w:hint="eastAsia"/>
          <w:sz w:val="24"/>
        </w:rPr>
        <w:t>学校专业教师和课程专家共同开发与建设《国际贸易地理与文化礼仪》教学资源共享平台，合理使用已开放的校外国际贸易类课程教学资源库</w:t>
      </w:r>
      <w:r>
        <w:rPr>
          <w:rFonts w:ascii="宋体" w:eastAsia="宋体" w:hAnsi="宋体" w:cs="宋体"/>
          <w:sz w:val="24"/>
        </w:rPr>
        <w:t>，</w:t>
      </w:r>
      <w:r>
        <w:rPr>
          <w:rFonts w:ascii="宋体" w:eastAsia="宋体" w:hAnsi="宋体" w:cs="宋体" w:hint="eastAsia"/>
          <w:sz w:val="24"/>
        </w:rPr>
        <w:t>为指导学生课外自主学习提供帮助。</w:t>
      </w:r>
    </w:p>
    <w:p w14:paraId="406513CD"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sz w:val="24"/>
        </w:rPr>
        <w:t>2.</w:t>
      </w:r>
      <w:r>
        <w:rPr>
          <w:rFonts w:ascii="宋体" w:eastAsia="宋体" w:hAnsi="宋体" w:cs="宋体" w:hint="eastAsia"/>
          <w:sz w:val="24"/>
        </w:rPr>
        <w:t>教师充分利用仿真实训软件、多媒体教学课件、校内工作室等辅助教学，满足</w:t>
      </w:r>
      <w:r>
        <w:rPr>
          <w:rFonts w:ascii="宋体" w:eastAsia="宋体" w:hAnsi="宋体" w:cs="宋体" w:hint="eastAsia"/>
          <w:sz w:val="24"/>
        </w:rPr>
        <w:lastRenderedPageBreak/>
        <w:t>课程实训的要求，实现教学与实训合一，满足“教、学、做</w:t>
      </w:r>
      <w:r>
        <w:rPr>
          <w:rFonts w:ascii="宋体" w:eastAsia="宋体" w:hAnsi="宋体" w:cs="宋体" w:hint="eastAsia"/>
          <w:sz w:val="24"/>
        </w:rPr>
        <w:t>”一体化的要求。</w:t>
      </w:r>
    </w:p>
    <w:p w14:paraId="4951874D" w14:textId="77777777" w:rsidR="00E27F6A" w:rsidRDefault="00851D38">
      <w:pPr>
        <w:ind w:left="1"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充分利用学校教学资源网站，充分利用电子书籍、电子期刊、数据库、数字图书馆、教育网站和电子论坛等网上信息资源，不断增加教学资源的品种，不断提高教学资源的针对性。</w:t>
      </w:r>
    </w:p>
    <w:p w14:paraId="6B5D845D" w14:textId="77777777" w:rsidR="00E27F6A" w:rsidRDefault="00851D38">
      <w:pPr>
        <w:widowControl w:val="0"/>
        <w:topLinePunct/>
        <w:adjustRightInd w:val="0"/>
        <w:ind w:firstLineChars="200" w:firstLine="562"/>
        <w:rPr>
          <w:rFonts w:ascii="宋体" w:eastAsia="宋体" w:hAnsi="宋体" w:cs="黑体"/>
          <w:b/>
          <w:sz w:val="28"/>
          <w:szCs w:val="28"/>
        </w:rPr>
      </w:pPr>
      <w:r>
        <w:rPr>
          <w:rFonts w:ascii="宋体" w:eastAsia="宋体" w:hAnsi="宋体" w:cs="黑体" w:hint="eastAsia"/>
          <w:b/>
          <w:sz w:val="28"/>
          <w:szCs w:val="28"/>
        </w:rPr>
        <w:t>七、说明</w:t>
      </w:r>
    </w:p>
    <w:p w14:paraId="433DDA58" w14:textId="77777777" w:rsidR="00E27F6A" w:rsidRDefault="00851D38">
      <w:pPr>
        <w:widowControl w:val="0"/>
        <w:topLinePunct/>
        <w:ind w:firstLineChars="200" w:firstLine="480"/>
        <w:jc w:val="both"/>
        <w:rPr>
          <w:rFonts w:ascii="宋体" w:eastAsia="宋体" w:hAnsi="宋体" w:cs="宋体"/>
          <w:sz w:val="24"/>
        </w:rPr>
      </w:pPr>
      <w:r>
        <w:rPr>
          <w:rFonts w:ascii="宋体" w:eastAsia="宋体" w:hAnsi="宋体" w:cs="宋体" w:hint="eastAsia"/>
          <w:sz w:val="24"/>
        </w:rPr>
        <w:t>本标准依据《江苏省中等职业学校国际贸易专业类课程指导方案》编制，适用于江苏省中等职业学校国际贸易类各专业（三年制）学生。</w:t>
      </w:r>
    </w:p>
    <w:p w14:paraId="330D0B78" w14:textId="77777777" w:rsidR="00E27F6A" w:rsidRDefault="00E27F6A">
      <w:pPr>
        <w:widowControl w:val="0"/>
        <w:topLinePunct/>
        <w:ind w:firstLineChars="200" w:firstLine="480"/>
        <w:jc w:val="both"/>
        <w:rPr>
          <w:rFonts w:ascii="宋体" w:eastAsia="宋体" w:hAnsi="宋体" w:cs="宋体"/>
          <w:sz w:val="24"/>
        </w:rPr>
      </w:pPr>
    </w:p>
    <w:p w14:paraId="701D58B0" w14:textId="77777777" w:rsidR="00E27F6A" w:rsidRDefault="00851D38">
      <w:pPr>
        <w:ind w:firstLineChars="200" w:firstLine="482"/>
        <w:rPr>
          <w:rFonts w:ascii="宋体" w:eastAsia="宋体" w:hAnsi="宋体" w:cs="宋体"/>
          <w:sz w:val="24"/>
        </w:rPr>
      </w:pPr>
      <w:r>
        <w:rPr>
          <w:rFonts w:ascii="宋体" w:eastAsia="宋体" w:hAnsi="宋体" w:cs="宋体" w:hint="eastAsia"/>
          <w:b/>
          <w:bCs/>
          <w:sz w:val="24"/>
        </w:rPr>
        <w:t>（开发人员及单位：</w:t>
      </w:r>
      <w:r>
        <w:rPr>
          <w:rFonts w:ascii="宋体" w:eastAsia="宋体" w:hAnsi="宋体" w:cs="宋体" w:hint="eastAsia"/>
          <w:sz w:val="24"/>
        </w:rPr>
        <w:t>祝艳春、袁玺葳，无锡商业职业技术学院；顾春江，无锡城市职业技术学院；周丽，无锡立信高等职业技术学校；路洋林，江苏宽策国际展览有限公司；张晓栋、门晴，无锡跨境电商中小企业商会）</w:t>
      </w:r>
    </w:p>
    <w:sectPr w:rsidR="00E27F6A">
      <w:footerReference w:type="default" r:id="rId8"/>
      <w:pgSz w:w="11906" w:h="16838"/>
      <w:pgMar w:top="1417" w:right="1418" w:bottom="1417" w:left="164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A5A73" w14:textId="77777777" w:rsidR="00851D38" w:rsidRDefault="00851D38">
      <w:r>
        <w:separator/>
      </w:r>
    </w:p>
  </w:endnote>
  <w:endnote w:type="continuationSeparator" w:id="0">
    <w:p w14:paraId="55C247B0" w14:textId="77777777" w:rsidR="00851D38" w:rsidRDefault="0085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63755817" w14:textId="4D471A69" w:rsidR="00E27F6A" w:rsidRDefault="00851D38">
        <w:pPr>
          <w:pStyle w:val="a8"/>
          <w:jc w:val="center"/>
        </w:pPr>
        <w:r>
          <w:fldChar w:fldCharType="begin"/>
        </w:r>
        <w:r>
          <w:instrText>PAGE   \* MERGEFORMAT</w:instrText>
        </w:r>
        <w:r>
          <w:fldChar w:fldCharType="separate"/>
        </w:r>
        <w:r w:rsidR="002C42FD" w:rsidRPr="002C42FD">
          <w:rPr>
            <w:noProof/>
            <w:lang w:val="zh-CN"/>
          </w:rPr>
          <w:t>2</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8ABA9" w14:textId="77777777" w:rsidR="00851D38" w:rsidRDefault="00851D38">
      <w:r>
        <w:separator/>
      </w:r>
    </w:p>
  </w:footnote>
  <w:footnote w:type="continuationSeparator" w:id="0">
    <w:p w14:paraId="74A6FD84" w14:textId="77777777" w:rsidR="00851D38" w:rsidRDefault="00851D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38B8D"/>
    <w:multiLevelType w:val="singleLevel"/>
    <w:tmpl w:val="63938B8D"/>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0215"/>
    <w:rsid w:val="000118B1"/>
    <w:rsid w:val="00023635"/>
    <w:rsid w:val="0002516A"/>
    <w:rsid w:val="00031692"/>
    <w:rsid w:val="00034372"/>
    <w:rsid w:val="000379E9"/>
    <w:rsid w:val="00046D80"/>
    <w:rsid w:val="00055AB5"/>
    <w:rsid w:val="00056A9D"/>
    <w:rsid w:val="00061A58"/>
    <w:rsid w:val="00066541"/>
    <w:rsid w:val="00067303"/>
    <w:rsid w:val="000744AC"/>
    <w:rsid w:val="0007662E"/>
    <w:rsid w:val="00080E8F"/>
    <w:rsid w:val="00084BE0"/>
    <w:rsid w:val="00090BCB"/>
    <w:rsid w:val="000919D4"/>
    <w:rsid w:val="000958BB"/>
    <w:rsid w:val="00097D20"/>
    <w:rsid w:val="000A2621"/>
    <w:rsid w:val="000A2C3C"/>
    <w:rsid w:val="000A32AD"/>
    <w:rsid w:val="000B3AA5"/>
    <w:rsid w:val="000C1965"/>
    <w:rsid w:val="000C617E"/>
    <w:rsid w:val="000C6636"/>
    <w:rsid w:val="000C7BCC"/>
    <w:rsid w:val="000D24AF"/>
    <w:rsid w:val="000D2B82"/>
    <w:rsid w:val="000D341E"/>
    <w:rsid w:val="000D44FC"/>
    <w:rsid w:val="000E1129"/>
    <w:rsid w:val="000E1E8A"/>
    <w:rsid w:val="000E4117"/>
    <w:rsid w:val="000E716A"/>
    <w:rsid w:val="000F21F8"/>
    <w:rsid w:val="000F5E2D"/>
    <w:rsid w:val="00100B3C"/>
    <w:rsid w:val="0010280F"/>
    <w:rsid w:val="00104DE1"/>
    <w:rsid w:val="00114383"/>
    <w:rsid w:val="00121727"/>
    <w:rsid w:val="00122072"/>
    <w:rsid w:val="00126BBE"/>
    <w:rsid w:val="00133FF5"/>
    <w:rsid w:val="0013750E"/>
    <w:rsid w:val="0015377B"/>
    <w:rsid w:val="00153918"/>
    <w:rsid w:val="001622F0"/>
    <w:rsid w:val="00163CFB"/>
    <w:rsid w:val="0016429B"/>
    <w:rsid w:val="00171E13"/>
    <w:rsid w:val="00172235"/>
    <w:rsid w:val="00173E2F"/>
    <w:rsid w:val="0018158E"/>
    <w:rsid w:val="0018340C"/>
    <w:rsid w:val="00184C98"/>
    <w:rsid w:val="001A198C"/>
    <w:rsid w:val="001A6BC0"/>
    <w:rsid w:val="001B0286"/>
    <w:rsid w:val="001B0EF2"/>
    <w:rsid w:val="001C1589"/>
    <w:rsid w:val="001D252C"/>
    <w:rsid w:val="001D40AC"/>
    <w:rsid w:val="001E0C21"/>
    <w:rsid w:val="001E2A1D"/>
    <w:rsid w:val="001E3497"/>
    <w:rsid w:val="001E7914"/>
    <w:rsid w:val="001F0150"/>
    <w:rsid w:val="001F1248"/>
    <w:rsid w:val="001F5A12"/>
    <w:rsid w:val="001F7A3C"/>
    <w:rsid w:val="00201666"/>
    <w:rsid w:val="0020307F"/>
    <w:rsid w:val="002144C9"/>
    <w:rsid w:val="002208AA"/>
    <w:rsid w:val="00233529"/>
    <w:rsid w:val="0024179B"/>
    <w:rsid w:val="00245586"/>
    <w:rsid w:val="002524CF"/>
    <w:rsid w:val="00254F6A"/>
    <w:rsid w:val="00260DBD"/>
    <w:rsid w:val="00260E39"/>
    <w:rsid w:val="00266D58"/>
    <w:rsid w:val="00266E87"/>
    <w:rsid w:val="00272586"/>
    <w:rsid w:val="00277703"/>
    <w:rsid w:val="00284BAC"/>
    <w:rsid w:val="002857C6"/>
    <w:rsid w:val="00292529"/>
    <w:rsid w:val="0029354E"/>
    <w:rsid w:val="00296652"/>
    <w:rsid w:val="0029791A"/>
    <w:rsid w:val="00297FCE"/>
    <w:rsid w:val="002A294A"/>
    <w:rsid w:val="002A7C97"/>
    <w:rsid w:val="002A7F79"/>
    <w:rsid w:val="002B0E02"/>
    <w:rsid w:val="002B2A44"/>
    <w:rsid w:val="002B3DD1"/>
    <w:rsid w:val="002B7D72"/>
    <w:rsid w:val="002C2107"/>
    <w:rsid w:val="002C42FD"/>
    <w:rsid w:val="002C5624"/>
    <w:rsid w:val="002E30FC"/>
    <w:rsid w:val="002E4A1D"/>
    <w:rsid w:val="002E4BF2"/>
    <w:rsid w:val="002E68C5"/>
    <w:rsid w:val="00314420"/>
    <w:rsid w:val="00321F88"/>
    <w:rsid w:val="003245A8"/>
    <w:rsid w:val="00331375"/>
    <w:rsid w:val="0033218D"/>
    <w:rsid w:val="00337868"/>
    <w:rsid w:val="0034057F"/>
    <w:rsid w:val="00342E64"/>
    <w:rsid w:val="0035062C"/>
    <w:rsid w:val="00355FEE"/>
    <w:rsid w:val="00370C88"/>
    <w:rsid w:val="00371713"/>
    <w:rsid w:val="00375747"/>
    <w:rsid w:val="003825D0"/>
    <w:rsid w:val="0039010B"/>
    <w:rsid w:val="00391D88"/>
    <w:rsid w:val="00392457"/>
    <w:rsid w:val="003949B6"/>
    <w:rsid w:val="003B26CB"/>
    <w:rsid w:val="003B4223"/>
    <w:rsid w:val="003B59F6"/>
    <w:rsid w:val="003B7B66"/>
    <w:rsid w:val="003C3574"/>
    <w:rsid w:val="003C4FE7"/>
    <w:rsid w:val="003C62CF"/>
    <w:rsid w:val="003D0004"/>
    <w:rsid w:val="003D5F69"/>
    <w:rsid w:val="003D75E2"/>
    <w:rsid w:val="003D7604"/>
    <w:rsid w:val="003D7F37"/>
    <w:rsid w:val="003E21F9"/>
    <w:rsid w:val="003E66E6"/>
    <w:rsid w:val="003E6E71"/>
    <w:rsid w:val="003E6E9F"/>
    <w:rsid w:val="003F34E2"/>
    <w:rsid w:val="003F41E4"/>
    <w:rsid w:val="003F5953"/>
    <w:rsid w:val="0040265A"/>
    <w:rsid w:val="00406363"/>
    <w:rsid w:val="00412562"/>
    <w:rsid w:val="004164A2"/>
    <w:rsid w:val="00425019"/>
    <w:rsid w:val="00427788"/>
    <w:rsid w:val="0043351B"/>
    <w:rsid w:val="00434D79"/>
    <w:rsid w:val="00445B79"/>
    <w:rsid w:val="00455C4C"/>
    <w:rsid w:val="00462E45"/>
    <w:rsid w:val="00485799"/>
    <w:rsid w:val="00487A0F"/>
    <w:rsid w:val="00495AC3"/>
    <w:rsid w:val="004A01DB"/>
    <w:rsid w:val="004A0967"/>
    <w:rsid w:val="004A418D"/>
    <w:rsid w:val="004A463B"/>
    <w:rsid w:val="004A48FF"/>
    <w:rsid w:val="004A55A6"/>
    <w:rsid w:val="004A5A4C"/>
    <w:rsid w:val="004B2369"/>
    <w:rsid w:val="004B44DB"/>
    <w:rsid w:val="004C0C3A"/>
    <w:rsid w:val="004C0E2C"/>
    <w:rsid w:val="004C5306"/>
    <w:rsid w:val="004C6C97"/>
    <w:rsid w:val="004D2698"/>
    <w:rsid w:val="004D74C7"/>
    <w:rsid w:val="004D74EB"/>
    <w:rsid w:val="004E140D"/>
    <w:rsid w:val="004E4D19"/>
    <w:rsid w:val="004F04B7"/>
    <w:rsid w:val="004F2CDD"/>
    <w:rsid w:val="004F2D61"/>
    <w:rsid w:val="004F4B42"/>
    <w:rsid w:val="00505178"/>
    <w:rsid w:val="005054E6"/>
    <w:rsid w:val="0051004F"/>
    <w:rsid w:val="00513125"/>
    <w:rsid w:val="0051730D"/>
    <w:rsid w:val="005201C8"/>
    <w:rsid w:val="00522BDA"/>
    <w:rsid w:val="00522C90"/>
    <w:rsid w:val="00525C65"/>
    <w:rsid w:val="0052641A"/>
    <w:rsid w:val="00526EE9"/>
    <w:rsid w:val="005304A6"/>
    <w:rsid w:val="00530B75"/>
    <w:rsid w:val="00534B99"/>
    <w:rsid w:val="00535ECB"/>
    <w:rsid w:val="005411B6"/>
    <w:rsid w:val="0054638B"/>
    <w:rsid w:val="00560887"/>
    <w:rsid w:val="005666FC"/>
    <w:rsid w:val="00570956"/>
    <w:rsid w:val="005766D3"/>
    <w:rsid w:val="0057725D"/>
    <w:rsid w:val="005823E1"/>
    <w:rsid w:val="00594E01"/>
    <w:rsid w:val="00595C78"/>
    <w:rsid w:val="00596B35"/>
    <w:rsid w:val="005A4C53"/>
    <w:rsid w:val="005C621B"/>
    <w:rsid w:val="005E14B5"/>
    <w:rsid w:val="005E29B2"/>
    <w:rsid w:val="005F58BD"/>
    <w:rsid w:val="00602F36"/>
    <w:rsid w:val="00603028"/>
    <w:rsid w:val="006037F2"/>
    <w:rsid w:val="00603D29"/>
    <w:rsid w:val="00607A1F"/>
    <w:rsid w:val="00610867"/>
    <w:rsid w:val="00617635"/>
    <w:rsid w:val="00620AA1"/>
    <w:rsid w:val="0062111C"/>
    <w:rsid w:val="00642B06"/>
    <w:rsid w:val="00644438"/>
    <w:rsid w:val="00644B83"/>
    <w:rsid w:val="00646480"/>
    <w:rsid w:val="00654C47"/>
    <w:rsid w:val="0065791E"/>
    <w:rsid w:val="006609B4"/>
    <w:rsid w:val="00663F5A"/>
    <w:rsid w:val="00666B06"/>
    <w:rsid w:val="00670291"/>
    <w:rsid w:val="00690E02"/>
    <w:rsid w:val="00690E5D"/>
    <w:rsid w:val="0069364E"/>
    <w:rsid w:val="00694836"/>
    <w:rsid w:val="006A0097"/>
    <w:rsid w:val="006A0D9C"/>
    <w:rsid w:val="006B365C"/>
    <w:rsid w:val="006B3A9A"/>
    <w:rsid w:val="006C5618"/>
    <w:rsid w:val="006C5A7C"/>
    <w:rsid w:val="006D65E6"/>
    <w:rsid w:val="006E3CE2"/>
    <w:rsid w:val="006F477D"/>
    <w:rsid w:val="006F71B4"/>
    <w:rsid w:val="00700D0C"/>
    <w:rsid w:val="0072030E"/>
    <w:rsid w:val="00721DF5"/>
    <w:rsid w:val="0073015F"/>
    <w:rsid w:val="007359B3"/>
    <w:rsid w:val="00742329"/>
    <w:rsid w:val="007474C6"/>
    <w:rsid w:val="00751D99"/>
    <w:rsid w:val="0076612B"/>
    <w:rsid w:val="0079170C"/>
    <w:rsid w:val="007919A1"/>
    <w:rsid w:val="007A5CF6"/>
    <w:rsid w:val="007A774D"/>
    <w:rsid w:val="007B038B"/>
    <w:rsid w:val="007B166C"/>
    <w:rsid w:val="007B1916"/>
    <w:rsid w:val="007B20C6"/>
    <w:rsid w:val="007B2C44"/>
    <w:rsid w:val="007B589C"/>
    <w:rsid w:val="007C0F49"/>
    <w:rsid w:val="007C5DDA"/>
    <w:rsid w:val="007E14E9"/>
    <w:rsid w:val="007E14EC"/>
    <w:rsid w:val="007F17FC"/>
    <w:rsid w:val="007F3F2F"/>
    <w:rsid w:val="007F6089"/>
    <w:rsid w:val="00801A57"/>
    <w:rsid w:val="00802F75"/>
    <w:rsid w:val="008068AF"/>
    <w:rsid w:val="00807BF2"/>
    <w:rsid w:val="0081582B"/>
    <w:rsid w:val="008172BE"/>
    <w:rsid w:val="008223AD"/>
    <w:rsid w:val="00823114"/>
    <w:rsid w:val="008330B9"/>
    <w:rsid w:val="008344D5"/>
    <w:rsid w:val="008349B6"/>
    <w:rsid w:val="00834F7E"/>
    <w:rsid w:val="00844929"/>
    <w:rsid w:val="00847EED"/>
    <w:rsid w:val="008505D6"/>
    <w:rsid w:val="00851D38"/>
    <w:rsid w:val="00862B52"/>
    <w:rsid w:val="00865709"/>
    <w:rsid w:val="00870ECA"/>
    <w:rsid w:val="0087310F"/>
    <w:rsid w:val="00874161"/>
    <w:rsid w:val="00875ACF"/>
    <w:rsid w:val="00875FF0"/>
    <w:rsid w:val="008824B1"/>
    <w:rsid w:val="0088362D"/>
    <w:rsid w:val="00885955"/>
    <w:rsid w:val="0089060B"/>
    <w:rsid w:val="00896762"/>
    <w:rsid w:val="008A2238"/>
    <w:rsid w:val="008A3EA4"/>
    <w:rsid w:val="008A4566"/>
    <w:rsid w:val="008A560C"/>
    <w:rsid w:val="008B4EA7"/>
    <w:rsid w:val="008C239C"/>
    <w:rsid w:val="008D0BFE"/>
    <w:rsid w:val="008E4D9B"/>
    <w:rsid w:val="008E7D72"/>
    <w:rsid w:val="008F5371"/>
    <w:rsid w:val="008F5B95"/>
    <w:rsid w:val="009018ED"/>
    <w:rsid w:val="00910690"/>
    <w:rsid w:val="009162CB"/>
    <w:rsid w:val="00916996"/>
    <w:rsid w:val="00921620"/>
    <w:rsid w:val="00922A43"/>
    <w:rsid w:val="0092790F"/>
    <w:rsid w:val="009348EA"/>
    <w:rsid w:val="0093628B"/>
    <w:rsid w:val="009368E8"/>
    <w:rsid w:val="009423A8"/>
    <w:rsid w:val="00942B69"/>
    <w:rsid w:val="009431D6"/>
    <w:rsid w:val="00947444"/>
    <w:rsid w:val="0095343A"/>
    <w:rsid w:val="00953D5D"/>
    <w:rsid w:val="00955E76"/>
    <w:rsid w:val="00957DEB"/>
    <w:rsid w:val="009632B0"/>
    <w:rsid w:val="00963613"/>
    <w:rsid w:val="00972E38"/>
    <w:rsid w:val="00975D4B"/>
    <w:rsid w:val="00976DB5"/>
    <w:rsid w:val="00984725"/>
    <w:rsid w:val="00987A74"/>
    <w:rsid w:val="009905BE"/>
    <w:rsid w:val="00992FD7"/>
    <w:rsid w:val="009970A3"/>
    <w:rsid w:val="009A1DF1"/>
    <w:rsid w:val="009A3B93"/>
    <w:rsid w:val="009A6CA0"/>
    <w:rsid w:val="009A704E"/>
    <w:rsid w:val="009A7E9D"/>
    <w:rsid w:val="009B1E21"/>
    <w:rsid w:val="009C06FA"/>
    <w:rsid w:val="009C2BFC"/>
    <w:rsid w:val="009D011C"/>
    <w:rsid w:val="009D0AF9"/>
    <w:rsid w:val="009D21DA"/>
    <w:rsid w:val="009D24C2"/>
    <w:rsid w:val="009D42FF"/>
    <w:rsid w:val="009E05B3"/>
    <w:rsid w:val="009E3C05"/>
    <w:rsid w:val="009F4E1F"/>
    <w:rsid w:val="009F5A47"/>
    <w:rsid w:val="00A0444B"/>
    <w:rsid w:val="00A04D3E"/>
    <w:rsid w:val="00A06B17"/>
    <w:rsid w:val="00A07991"/>
    <w:rsid w:val="00A24A88"/>
    <w:rsid w:val="00A3138B"/>
    <w:rsid w:val="00A325D3"/>
    <w:rsid w:val="00A3398C"/>
    <w:rsid w:val="00A4528D"/>
    <w:rsid w:val="00A46883"/>
    <w:rsid w:val="00A51AC3"/>
    <w:rsid w:val="00A51B41"/>
    <w:rsid w:val="00A53D5B"/>
    <w:rsid w:val="00A53F91"/>
    <w:rsid w:val="00A61E4A"/>
    <w:rsid w:val="00A93AB2"/>
    <w:rsid w:val="00A95B47"/>
    <w:rsid w:val="00A97C64"/>
    <w:rsid w:val="00AA2703"/>
    <w:rsid w:val="00AA5877"/>
    <w:rsid w:val="00AB129E"/>
    <w:rsid w:val="00AB2AEF"/>
    <w:rsid w:val="00AB2DC5"/>
    <w:rsid w:val="00AB7036"/>
    <w:rsid w:val="00AC047E"/>
    <w:rsid w:val="00AC60DC"/>
    <w:rsid w:val="00AD2790"/>
    <w:rsid w:val="00AD4C1B"/>
    <w:rsid w:val="00AD680E"/>
    <w:rsid w:val="00AD6DF1"/>
    <w:rsid w:val="00AD7104"/>
    <w:rsid w:val="00AD7DC1"/>
    <w:rsid w:val="00AE044A"/>
    <w:rsid w:val="00AF3466"/>
    <w:rsid w:val="00AF7AB4"/>
    <w:rsid w:val="00B01E4E"/>
    <w:rsid w:val="00B03373"/>
    <w:rsid w:val="00B03D3F"/>
    <w:rsid w:val="00B05E92"/>
    <w:rsid w:val="00B109A9"/>
    <w:rsid w:val="00B1188C"/>
    <w:rsid w:val="00B11AF3"/>
    <w:rsid w:val="00B279B2"/>
    <w:rsid w:val="00B43612"/>
    <w:rsid w:val="00B46EED"/>
    <w:rsid w:val="00B50743"/>
    <w:rsid w:val="00B5252C"/>
    <w:rsid w:val="00B61F3B"/>
    <w:rsid w:val="00B653D9"/>
    <w:rsid w:val="00B67183"/>
    <w:rsid w:val="00B76AB2"/>
    <w:rsid w:val="00B77E06"/>
    <w:rsid w:val="00B80F23"/>
    <w:rsid w:val="00B81724"/>
    <w:rsid w:val="00B817B0"/>
    <w:rsid w:val="00B85896"/>
    <w:rsid w:val="00B960CC"/>
    <w:rsid w:val="00BA165A"/>
    <w:rsid w:val="00BA2CBF"/>
    <w:rsid w:val="00BB498F"/>
    <w:rsid w:val="00BD138A"/>
    <w:rsid w:val="00BD2186"/>
    <w:rsid w:val="00BD2E96"/>
    <w:rsid w:val="00BD37E8"/>
    <w:rsid w:val="00BD4DC4"/>
    <w:rsid w:val="00BE40CF"/>
    <w:rsid w:val="00BE7B5E"/>
    <w:rsid w:val="00BE7F5B"/>
    <w:rsid w:val="00BF243A"/>
    <w:rsid w:val="00BF2DAA"/>
    <w:rsid w:val="00C019BD"/>
    <w:rsid w:val="00C1311F"/>
    <w:rsid w:val="00C15651"/>
    <w:rsid w:val="00C20D8B"/>
    <w:rsid w:val="00C2779F"/>
    <w:rsid w:val="00C4298F"/>
    <w:rsid w:val="00C44199"/>
    <w:rsid w:val="00C4729E"/>
    <w:rsid w:val="00C5521C"/>
    <w:rsid w:val="00C601B5"/>
    <w:rsid w:val="00C643A7"/>
    <w:rsid w:val="00C671DB"/>
    <w:rsid w:val="00C70489"/>
    <w:rsid w:val="00C770EF"/>
    <w:rsid w:val="00C83A39"/>
    <w:rsid w:val="00C840D4"/>
    <w:rsid w:val="00C92DD9"/>
    <w:rsid w:val="00CA0E60"/>
    <w:rsid w:val="00CA29A1"/>
    <w:rsid w:val="00CA2D31"/>
    <w:rsid w:val="00CA3298"/>
    <w:rsid w:val="00CA3440"/>
    <w:rsid w:val="00CA6B71"/>
    <w:rsid w:val="00CB11A6"/>
    <w:rsid w:val="00CB2E85"/>
    <w:rsid w:val="00CB31E8"/>
    <w:rsid w:val="00CB435A"/>
    <w:rsid w:val="00CC0BEF"/>
    <w:rsid w:val="00CC130C"/>
    <w:rsid w:val="00CD06A8"/>
    <w:rsid w:val="00CD2D3E"/>
    <w:rsid w:val="00CE1A7C"/>
    <w:rsid w:val="00CE3B4F"/>
    <w:rsid w:val="00CE3E7E"/>
    <w:rsid w:val="00CF0532"/>
    <w:rsid w:val="00CF0DDC"/>
    <w:rsid w:val="00D03EE9"/>
    <w:rsid w:val="00D047AA"/>
    <w:rsid w:val="00D066D9"/>
    <w:rsid w:val="00D11A48"/>
    <w:rsid w:val="00D120A4"/>
    <w:rsid w:val="00D1465C"/>
    <w:rsid w:val="00D16718"/>
    <w:rsid w:val="00D176B7"/>
    <w:rsid w:val="00D17AD1"/>
    <w:rsid w:val="00D27E18"/>
    <w:rsid w:val="00D3287E"/>
    <w:rsid w:val="00D3621F"/>
    <w:rsid w:val="00D36CAF"/>
    <w:rsid w:val="00D37253"/>
    <w:rsid w:val="00D411E7"/>
    <w:rsid w:val="00D436D5"/>
    <w:rsid w:val="00D450E1"/>
    <w:rsid w:val="00D465D9"/>
    <w:rsid w:val="00D47DC3"/>
    <w:rsid w:val="00D500ED"/>
    <w:rsid w:val="00D5743C"/>
    <w:rsid w:val="00D7318B"/>
    <w:rsid w:val="00D7566A"/>
    <w:rsid w:val="00D90221"/>
    <w:rsid w:val="00D924D2"/>
    <w:rsid w:val="00D964F1"/>
    <w:rsid w:val="00D966BF"/>
    <w:rsid w:val="00D97CF5"/>
    <w:rsid w:val="00DA1C18"/>
    <w:rsid w:val="00DB09D4"/>
    <w:rsid w:val="00DB2806"/>
    <w:rsid w:val="00DB57F0"/>
    <w:rsid w:val="00DB65FC"/>
    <w:rsid w:val="00DB71F6"/>
    <w:rsid w:val="00DC18CC"/>
    <w:rsid w:val="00DC5182"/>
    <w:rsid w:val="00DC5CC4"/>
    <w:rsid w:val="00DC6E59"/>
    <w:rsid w:val="00DD2CD5"/>
    <w:rsid w:val="00DE01AD"/>
    <w:rsid w:val="00DF2E8E"/>
    <w:rsid w:val="00DF3517"/>
    <w:rsid w:val="00DF4198"/>
    <w:rsid w:val="00E008A8"/>
    <w:rsid w:val="00E057BE"/>
    <w:rsid w:val="00E106D0"/>
    <w:rsid w:val="00E14D7D"/>
    <w:rsid w:val="00E20F9C"/>
    <w:rsid w:val="00E23BCA"/>
    <w:rsid w:val="00E245B6"/>
    <w:rsid w:val="00E26FB6"/>
    <w:rsid w:val="00E27F6A"/>
    <w:rsid w:val="00E33CD7"/>
    <w:rsid w:val="00E41B23"/>
    <w:rsid w:val="00E63940"/>
    <w:rsid w:val="00E71806"/>
    <w:rsid w:val="00E7216A"/>
    <w:rsid w:val="00E76FAC"/>
    <w:rsid w:val="00E848A7"/>
    <w:rsid w:val="00E867D0"/>
    <w:rsid w:val="00E87856"/>
    <w:rsid w:val="00EA0063"/>
    <w:rsid w:val="00EA0635"/>
    <w:rsid w:val="00EA16DB"/>
    <w:rsid w:val="00EA37F6"/>
    <w:rsid w:val="00EB0192"/>
    <w:rsid w:val="00EB2AEB"/>
    <w:rsid w:val="00EC20CE"/>
    <w:rsid w:val="00ED0F2E"/>
    <w:rsid w:val="00ED1F44"/>
    <w:rsid w:val="00ED2AC3"/>
    <w:rsid w:val="00EE740D"/>
    <w:rsid w:val="00EF45AF"/>
    <w:rsid w:val="00EF62AC"/>
    <w:rsid w:val="00F01A3A"/>
    <w:rsid w:val="00F17767"/>
    <w:rsid w:val="00F21C45"/>
    <w:rsid w:val="00F24F42"/>
    <w:rsid w:val="00F342B8"/>
    <w:rsid w:val="00F44B12"/>
    <w:rsid w:val="00F45487"/>
    <w:rsid w:val="00F52DF9"/>
    <w:rsid w:val="00F57171"/>
    <w:rsid w:val="00F628D3"/>
    <w:rsid w:val="00F718C8"/>
    <w:rsid w:val="00F77E73"/>
    <w:rsid w:val="00F82330"/>
    <w:rsid w:val="00F827C6"/>
    <w:rsid w:val="00F8794F"/>
    <w:rsid w:val="00F9048A"/>
    <w:rsid w:val="00FA7ED8"/>
    <w:rsid w:val="00FB01B4"/>
    <w:rsid w:val="00FB0ABA"/>
    <w:rsid w:val="00FB1991"/>
    <w:rsid w:val="00FC2F12"/>
    <w:rsid w:val="00FC491E"/>
    <w:rsid w:val="00FE0DFD"/>
    <w:rsid w:val="00FE1E3B"/>
    <w:rsid w:val="00FE60E6"/>
    <w:rsid w:val="00FF2FA9"/>
    <w:rsid w:val="00FF53EB"/>
    <w:rsid w:val="00FF6AA4"/>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84E5C64"/>
    <w:rsid w:val="08A7581D"/>
    <w:rsid w:val="09032191"/>
    <w:rsid w:val="094F31D3"/>
    <w:rsid w:val="097C203A"/>
    <w:rsid w:val="09D60F1B"/>
    <w:rsid w:val="0A170A6A"/>
    <w:rsid w:val="0A780F63"/>
    <w:rsid w:val="0AD5416C"/>
    <w:rsid w:val="0BCC0A37"/>
    <w:rsid w:val="0BEC2290"/>
    <w:rsid w:val="0C81651C"/>
    <w:rsid w:val="0CD64938"/>
    <w:rsid w:val="0CFF2EA1"/>
    <w:rsid w:val="0D206D3E"/>
    <w:rsid w:val="0ED4329A"/>
    <w:rsid w:val="0F320DAE"/>
    <w:rsid w:val="0F5517A3"/>
    <w:rsid w:val="0F921960"/>
    <w:rsid w:val="11045BB9"/>
    <w:rsid w:val="112F34A8"/>
    <w:rsid w:val="1199574F"/>
    <w:rsid w:val="11E63955"/>
    <w:rsid w:val="12690332"/>
    <w:rsid w:val="13AE4D19"/>
    <w:rsid w:val="14665577"/>
    <w:rsid w:val="14784A29"/>
    <w:rsid w:val="14A7430F"/>
    <w:rsid w:val="15400436"/>
    <w:rsid w:val="15657342"/>
    <w:rsid w:val="16853D49"/>
    <w:rsid w:val="178735E6"/>
    <w:rsid w:val="18483FB5"/>
    <w:rsid w:val="18647883"/>
    <w:rsid w:val="190C35AD"/>
    <w:rsid w:val="19C740D8"/>
    <w:rsid w:val="1A137C8A"/>
    <w:rsid w:val="1A64353D"/>
    <w:rsid w:val="1A8E7993"/>
    <w:rsid w:val="1AB87BF8"/>
    <w:rsid w:val="1ADA1ADD"/>
    <w:rsid w:val="1B7D4020"/>
    <w:rsid w:val="1B98765D"/>
    <w:rsid w:val="1BE03BA0"/>
    <w:rsid w:val="1BFD0B4A"/>
    <w:rsid w:val="1C524EA0"/>
    <w:rsid w:val="1DBA2C3C"/>
    <w:rsid w:val="1E950B2B"/>
    <w:rsid w:val="206A4961"/>
    <w:rsid w:val="20724C56"/>
    <w:rsid w:val="20C3242C"/>
    <w:rsid w:val="211F2167"/>
    <w:rsid w:val="213C1637"/>
    <w:rsid w:val="21942DAA"/>
    <w:rsid w:val="22316034"/>
    <w:rsid w:val="223D4B82"/>
    <w:rsid w:val="2247127C"/>
    <w:rsid w:val="236B357A"/>
    <w:rsid w:val="23B269F7"/>
    <w:rsid w:val="23FA1381"/>
    <w:rsid w:val="2439578F"/>
    <w:rsid w:val="246E616E"/>
    <w:rsid w:val="249963CC"/>
    <w:rsid w:val="2566205C"/>
    <w:rsid w:val="261044E3"/>
    <w:rsid w:val="26727B85"/>
    <w:rsid w:val="26FB22FC"/>
    <w:rsid w:val="270F32D6"/>
    <w:rsid w:val="273E09AE"/>
    <w:rsid w:val="27AD7BA2"/>
    <w:rsid w:val="28CA2D1C"/>
    <w:rsid w:val="290975E5"/>
    <w:rsid w:val="29ED400E"/>
    <w:rsid w:val="2A4431B4"/>
    <w:rsid w:val="2BAF0784"/>
    <w:rsid w:val="2C776707"/>
    <w:rsid w:val="2C82205A"/>
    <w:rsid w:val="2CE20E35"/>
    <w:rsid w:val="2D0D16A5"/>
    <w:rsid w:val="2DB36936"/>
    <w:rsid w:val="2E0F4396"/>
    <w:rsid w:val="2FA7366A"/>
    <w:rsid w:val="2FD652B7"/>
    <w:rsid w:val="308C66BA"/>
    <w:rsid w:val="30D03BD9"/>
    <w:rsid w:val="313F3BA6"/>
    <w:rsid w:val="31B830E0"/>
    <w:rsid w:val="320B446D"/>
    <w:rsid w:val="32D904BC"/>
    <w:rsid w:val="32F32A21"/>
    <w:rsid w:val="32F94B8E"/>
    <w:rsid w:val="331B51D6"/>
    <w:rsid w:val="336B2B53"/>
    <w:rsid w:val="33930EEC"/>
    <w:rsid w:val="34B37006"/>
    <w:rsid w:val="34DB0F65"/>
    <w:rsid w:val="36261F53"/>
    <w:rsid w:val="36C81DE8"/>
    <w:rsid w:val="36D64083"/>
    <w:rsid w:val="377859FD"/>
    <w:rsid w:val="38436044"/>
    <w:rsid w:val="387F7A1E"/>
    <w:rsid w:val="395037FA"/>
    <w:rsid w:val="3A7E52C6"/>
    <w:rsid w:val="3B9E3904"/>
    <w:rsid w:val="3BC52A1D"/>
    <w:rsid w:val="3D5D1F2F"/>
    <w:rsid w:val="3E3C18A3"/>
    <w:rsid w:val="3E735CD6"/>
    <w:rsid w:val="3E8962DA"/>
    <w:rsid w:val="3EB94998"/>
    <w:rsid w:val="3F283660"/>
    <w:rsid w:val="3FF7015C"/>
    <w:rsid w:val="404959A8"/>
    <w:rsid w:val="40B05B1F"/>
    <w:rsid w:val="413B5B02"/>
    <w:rsid w:val="413E0244"/>
    <w:rsid w:val="41AA0C03"/>
    <w:rsid w:val="429E2E14"/>
    <w:rsid w:val="42FE2483"/>
    <w:rsid w:val="432F5514"/>
    <w:rsid w:val="437D0224"/>
    <w:rsid w:val="43B8716C"/>
    <w:rsid w:val="43C3283B"/>
    <w:rsid w:val="440A578C"/>
    <w:rsid w:val="44C06BEE"/>
    <w:rsid w:val="46473547"/>
    <w:rsid w:val="46FB51BC"/>
    <w:rsid w:val="47125694"/>
    <w:rsid w:val="471A065F"/>
    <w:rsid w:val="479761D2"/>
    <w:rsid w:val="47E409B2"/>
    <w:rsid w:val="48732FA5"/>
    <w:rsid w:val="48890188"/>
    <w:rsid w:val="495B048F"/>
    <w:rsid w:val="496B50F8"/>
    <w:rsid w:val="4ADC2B74"/>
    <w:rsid w:val="4B28565B"/>
    <w:rsid w:val="4B30622F"/>
    <w:rsid w:val="4BC27A67"/>
    <w:rsid w:val="4CA70128"/>
    <w:rsid w:val="4CEE560C"/>
    <w:rsid w:val="4D8F5FB1"/>
    <w:rsid w:val="4DC572D0"/>
    <w:rsid w:val="4E4C36E2"/>
    <w:rsid w:val="4EE51D25"/>
    <w:rsid w:val="4F9C7946"/>
    <w:rsid w:val="50CF5F36"/>
    <w:rsid w:val="518119C4"/>
    <w:rsid w:val="519A516D"/>
    <w:rsid w:val="521B769F"/>
    <w:rsid w:val="52E616D3"/>
    <w:rsid w:val="53CC3F8A"/>
    <w:rsid w:val="544637FA"/>
    <w:rsid w:val="54F16D1C"/>
    <w:rsid w:val="550021F7"/>
    <w:rsid w:val="557315BF"/>
    <w:rsid w:val="561B7CF8"/>
    <w:rsid w:val="56725F69"/>
    <w:rsid w:val="568715CF"/>
    <w:rsid w:val="56E512E6"/>
    <w:rsid w:val="57D542ED"/>
    <w:rsid w:val="585D0200"/>
    <w:rsid w:val="592534AB"/>
    <w:rsid w:val="59CA4410"/>
    <w:rsid w:val="5A0865D8"/>
    <w:rsid w:val="5A352BD7"/>
    <w:rsid w:val="5A3637F1"/>
    <w:rsid w:val="5A533DE6"/>
    <w:rsid w:val="5ADC59C5"/>
    <w:rsid w:val="5B396746"/>
    <w:rsid w:val="5D566440"/>
    <w:rsid w:val="5DDB45B0"/>
    <w:rsid w:val="5DFC7C4C"/>
    <w:rsid w:val="5F3457FD"/>
    <w:rsid w:val="5FD154B4"/>
    <w:rsid w:val="5FE64BF0"/>
    <w:rsid w:val="5FF803BF"/>
    <w:rsid w:val="60172FFB"/>
    <w:rsid w:val="603B7793"/>
    <w:rsid w:val="60A43852"/>
    <w:rsid w:val="61502B73"/>
    <w:rsid w:val="618D180C"/>
    <w:rsid w:val="61DD5EE9"/>
    <w:rsid w:val="624D0F56"/>
    <w:rsid w:val="6349580F"/>
    <w:rsid w:val="648A7275"/>
    <w:rsid w:val="64D304B3"/>
    <w:rsid w:val="64E220DD"/>
    <w:rsid w:val="652F3878"/>
    <w:rsid w:val="654B6A4E"/>
    <w:rsid w:val="6559534A"/>
    <w:rsid w:val="677A226A"/>
    <w:rsid w:val="67D0686A"/>
    <w:rsid w:val="67E75B9C"/>
    <w:rsid w:val="6839194C"/>
    <w:rsid w:val="683B0980"/>
    <w:rsid w:val="686960E6"/>
    <w:rsid w:val="693C36FC"/>
    <w:rsid w:val="69E01D5F"/>
    <w:rsid w:val="6A46304D"/>
    <w:rsid w:val="6BA91FF0"/>
    <w:rsid w:val="6BED1298"/>
    <w:rsid w:val="6D774FF9"/>
    <w:rsid w:val="6DA103DD"/>
    <w:rsid w:val="6E3226C6"/>
    <w:rsid w:val="6E573559"/>
    <w:rsid w:val="6EC67842"/>
    <w:rsid w:val="6FB75470"/>
    <w:rsid w:val="6FDE2273"/>
    <w:rsid w:val="70755D98"/>
    <w:rsid w:val="716B671F"/>
    <w:rsid w:val="71A2579E"/>
    <w:rsid w:val="72807A27"/>
    <w:rsid w:val="72CF445A"/>
    <w:rsid w:val="74032420"/>
    <w:rsid w:val="750D6C96"/>
    <w:rsid w:val="753E28E8"/>
    <w:rsid w:val="75A432DF"/>
    <w:rsid w:val="760D7C4A"/>
    <w:rsid w:val="764A03A3"/>
    <w:rsid w:val="766A5A90"/>
    <w:rsid w:val="76BB055F"/>
    <w:rsid w:val="76EC296B"/>
    <w:rsid w:val="76FA0FBF"/>
    <w:rsid w:val="77793AE0"/>
    <w:rsid w:val="788C5A51"/>
    <w:rsid w:val="790F4F57"/>
    <w:rsid w:val="7A5A3828"/>
    <w:rsid w:val="7ACA2556"/>
    <w:rsid w:val="7ADF33C8"/>
    <w:rsid w:val="7AF52990"/>
    <w:rsid w:val="7BB473CD"/>
    <w:rsid w:val="7BC27DA5"/>
    <w:rsid w:val="7C4A58F4"/>
    <w:rsid w:val="7C8E0434"/>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D7992"/>
  <w15:docId w15:val="{6BC472F3-EA5C-459C-909D-6500EDE8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Emphasis"/>
    <w:basedOn w:val="a0"/>
    <w:autoRedefine/>
    <w:uiPriority w:val="20"/>
    <w:qFormat/>
    <w:rPr>
      <w:i/>
      <w:iCs/>
    </w:rPr>
  </w:style>
  <w:style w:type="character" w:styleId="af1">
    <w:name w:val="Hyperlink"/>
    <w:basedOn w:val="a0"/>
    <w:autoRedefine/>
    <w:uiPriority w:val="99"/>
    <w:semiHidden/>
    <w:unhideWhenUsed/>
    <w:qFormat/>
    <w:rPr>
      <w:color w:val="0000FF"/>
      <w:u w:val="single"/>
    </w:rPr>
  </w:style>
  <w:style w:type="character" w:styleId="af2">
    <w:name w:val="annotation reference"/>
    <w:basedOn w:val="a0"/>
    <w:autoRedefine/>
    <w:uiPriority w:val="99"/>
    <w:semiHidden/>
    <w:unhideWhenUsed/>
    <w:qFormat/>
    <w:rPr>
      <w:sz w:val="21"/>
      <w:szCs w:val="21"/>
    </w:rPr>
  </w:style>
  <w:style w:type="paragraph" w:styleId="af3">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5DA52-3E85-41C5-BB80-AD12AC8D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664</Words>
  <Characters>3786</Characters>
  <Application>Microsoft Office Word</Application>
  <DocSecurity>0</DocSecurity>
  <Lines>31</Lines>
  <Paragraphs>8</Paragraphs>
  <ScaleCrop>false</ScaleCrop>
  <Company>Microsoft</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207</cp:revision>
  <dcterms:created xsi:type="dcterms:W3CDTF">2021-07-20T01:30:00Z</dcterms:created>
  <dcterms:modified xsi:type="dcterms:W3CDTF">2024-07-09T15:03:00Z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A19F92314542443295F99872FFB01855</vt:lpwstr>
  </property>
</Properties>
</file>